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5531" w:rsidP="00785531" w:rsidRDefault="00785531" w14:paraId="297DC9F5" w14:textId="2142C9C6">
      <w:pPr>
        <w:spacing w:line="276" w:lineRule="auto"/>
        <w:rPr>
          <w:rFonts w:ascii="Figtree" w:hAnsi="Figtree" w:cs="Tahoma"/>
          <w:lang w:val="en-GB"/>
        </w:rPr>
      </w:pPr>
    </w:p>
    <w:p w:rsidRPr="0083077E" w:rsidR="007577D5" w:rsidP="007577D5" w:rsidRDefault="00E87FBC" w14:paraId="59B979BE" w14:textId="26DEBBBB">
      <w:pPr>
        <w:spacing w:line="276" w:lineRule="auto"/>
        <w:rPr>
          <w:rFonts w:ascii="Figtree" w:hAnsi="Figtree" w:cs="Tahoma"/>
          <w:lang w:val="en-GB"/>
        </w:rPr>
      </w:pPr>
      <w:r>
        <w:rPr>
          <w:rFonts w:ascii="Figtree" w:hAnsi="Figtree" w:cs="Tahoma"/>
          <w:lang w:val="en-GB"/>
        </w:rPr>
        <w:t>6</w:t>
      </w:r>
      <w:r w:rsidRPr="00E87FBC">
        <w:rPr>
          <w:rFonts w:ascii="Figtree" w:hAnsi="Figtree" w:cs="Tahoma"/>
          <w:vertAlign w:val="superscript"/>
          <w:lang w:val="en-GB"/>
        </w:rPr>
        <w:t>th</w:t>
      </w:r>
      <w:r>
        <w:rPr>
          <w:rFonts w:ascii="Figtree" w:hAnsi="Figtree" w:cs="Tahoma"/>
          <w:lang w:val="en-GB"/>
        </w:rPr>
        <w:t xml:space="preserve"> March 2025</w:t>
      </w:r>
    </w:p>
    <w:p w:rsidRPr="0083077E" w:rsidR="007577D5" w:rsidP="3EA0DD33" w:rsidRDefault="007577D5" w14:paraId="3B8061A3" w14:textId="77777777" w14:noSpellErr="1">
      <w:pPr>
        <w:spacing w:line="276" w:lineRule="auto"/>
        <w:rPr>
          <w:rFonts w:ascii="Figtree" w:hAnsi="Figtree" w:eastAsia="Figtree" w:cs="Figtree"/>
          <w:lang w:val="en-GB"/>
        </w:rPr>
      </w:pPr>
    </w:p>
    <w:p w:rsidRPr="0083077E" w:rsidR="007577D5" w:rsidP="3EA0DD33" w:rsidRDefault="007577D5" w14:paraId="601C6CC8" w14:textId="77777777" w14:noSpellErr="1">
      <w:pPr>
        <w:spacing w:line="276" w:lineRule="auto"/>
        <w:rPr>
          <w:rFonts w:ascii="Figtree" w:hAnsi="Figtree" w:eastAsia="Figtree" w:cs="Figtree"/>
          <w:lang w:val="en-GB"/>
        </w:rPr>
      </w:pPr>
    </w:p>
    <w:p w:rsidR="00C91207" w:rsidP="3EA0DD33" w:rsidRDefault="00C91207" w14:paraId="0CA4CA85" w14:textId="77777777" w14:noSpellErr="1">
      <w:pPr>
        <w:spacing w:line="276" w:lineRule="auto"/>
        <w:rPr>
          <w:rFonts w:ascii="Figtree" w:hAnsi="Figtree" w:eastAsia="Figtree" w:cs="Figtree"/>
          <w:b w:val="1"/>
          <w:bCs w:val="1"/>
        </w:rPr>
      </w:pPr>
      <w:r w:rsidRPr="3EA0DD33" w:rsidR="00C91207">
        <w:rPr>
          <w:rFonts w:ascii="Figtree" w:hAnsi="Figtree" w:eastAsia="Figtree" w:cs="Figtree"/>
          <w:b w:val="1"/>
          <w:bCs w:val="1"/>
        </w:rPr>
        <w:t xml:space="preserve">Jobs and Skills Australia (JSA) </w:t>
      </w:r>
    </w:p>
    <w:p w:rsidRPr="00424DB2" w:rsidR="007577D5" w:rsidP="3EA0DD33" w:rsidRDefault="00424DB2" w14:paraId="5B3A4C0F" w14:textId="6CB591BC" w14:noSpellErr="1">
      <w:pPr>
        <w:spacing w:line="276" w:lineRule="auto"/>
        <w:rPr>
          <w:rFonts w:ascii="Figtree" w:hAnsi="Figtree" w:eastAsia="Figtree" w:cs="Figtree"/>
        </w:rPr>
      </w:pPr>
      <w:hyperlink r:id="Rd1657999ab5d4d9e">
        <w:r w:rsidRPr="3EA0DD33" w:rsidR="00424DB2">
          <w:rPr>
            <w:rStyle w:val="Hyperlink"/>
            <w:rFonts w:ascii="Figtree" w:hAnsi="Figtree" w:eastAsia="Figtree" w:cs="Figtree"/>
          </w:rPr>
          <w:t>GenderStudy@jobsandskills.gov.au</w:t>
        </w:r>
      </w:hyperlink>
      <w:r w:rsidRPr="3EA0DD33" w:rsidR="00424DB2">
        <w:rPr>
          <w:rFonts w:ascii="Figtree" w:hAnsi="Figtree" w:eastAsia="Figtree" w:cs="Figtree"/>
        </w:rPr>
        <w:t xml:space="preserve"> </w:t>
      </w:r>
    </w:p>
    <w:p w:rsidRPr="00424DB2" w:rsidR="00FE3FC9" w:rsidP="3EA0DD33" w:rsidRDefault="007577D5" w14:paraId="51029C12" w14:textId="17373A8B" w14:noSpellErr="1">
      <w:pPr>
        <w:spacing w:line="276" w:lineRule="auto"/>
        <w:rPr>
          <w:rFonts w:ascii="Figtree" w:hAnsi="Figtree" w:eastAsia="Figtree" w:cs="Figtree"/>
          <w:b w:val="1"/>
          <w:bCs w:val="1"/>
        </w:rPr>
      </w:pPr>
      <w:r>
        <w:br/>
      </w:r>
      <w:r w:rsidRPr="3EA0DD33" w:rsidR="00FE3FC9">
        <w:rPr>
          <w:rFonts w:ascii="Figtree" w:hAnsi="Figtree" w:eastAsia="Figtree" w:cs="Figtree"/>
          <w:b w:val="1"/>
          <w:bCs w:val="1"/>
        </w:rPr>
        <w:t>Submission to</w:t>
      </w:r>
      <w:r w:rsidRPr="3EA0DD33" w:rsidR="00C91207">
        <w:rPr>
          <w:rFonts w:ascii="Figtree" w:hAnsi="Figtree" w:eastAsia="Figtree" w:cs="Figtree"/>
          <w:b w:val="1"/>
          <w:bCs w:val="1"/>
        </w:rPr>
        <w:t xml:space="preserve">: </w:t>
      </w:r>
      <w:r w:rsidRPr="3EA0DD33" w:rsidR="00FE3FC9">
        <w:rPr>
          <w:rFonts w:ascii="Figtree" w:hAnsi="Figtree" w:eastAsia="Figtree" w:cs="Figtree"/>
          <w:b w:val="1"/>
          <w:bCs w:val="1"/>
        </w:rPr>
        <w:t>Gender Economic Equality Study</w:t>
      </w:r>
      <w:r w:rsidRPr="3EA0DD33" w:rsidR="00C91207">
        <w:rPr>
          <w:rFonts w:ascii="Figtree" w:hAnsi="Figtree" w:eastAsia="Figtree" w:cs="Figtree"/>
          <w:b w:val="1"/>
          <w:bCs w:val="1"/>
        </w:rPr>
        <w:t xml:space="preserve"> Consultation </w:t>
      </w:r>
      <w:r>
        <w:br/>
      </w:r>
      <w:r w:rsidRPr="3EA0DD33" w:rsidR="00FE3FC9">
        <w:rPr>
          <w:rFonts w:ascii="Figtree" w:hAnsi="Figtree" w:eastAsia="Figtree" w:cs="Figtree"/>
          <w:b w:val="1"/>
          <w:bCs w:val="1"/>
        </w:rPr>
        <w:t xml:space="preserve">From: Women </w:t>
      </w:r>
      <w:r w:rsidRPr="3EA0DD33" w:rsidR="00FE3FC9">
        <w:rPr>
          <w:rFonts w:ascii="Figtree" w:hAnsi="Figtree" w:eastAsia="Figtree" w:cs="Figtree"/>
          <w:b w:val="1"/>
          <w:bCs w:val="1"/>
        </w:rPr>
        <w:t>With</w:t>
      </w:r>
      <w:r w:rsidRPr="3EA0DD33" w:rsidR="00FE3FC9">
        <w:rPr>
          <w:rFonts w:ascii="Figtree" w:hAnsi="Figtree" w:eastAsia="Figtree" w:cs="Figtree"/>
          <w:b w:val="1"/>
          <w:bCs w:val="1"/>
        </w:rPr>
        <w:t xml:space="preserve"> Disabilities Australia (WWDA)</w:t>
      </w:r>
    </w:p>
    <w:p w:rsidR="00BD026A" w:rsidP="00FE3FC9" w:rsidRDefault="00BD026A" w14:paraId="287CB651" w14:textId="77777777">
      <w:pPr>
        <w:spacing w:line="276" w:lineRule="auto"/>
        <w:rPr>
          <w:rFonts w:ascii="Figtree" w:hAnsi="Figtree" w:cs="Tahoma"/>
          <w:b/>
          <w:bCs/>
        </w:rPr>
      </w:pPr>
    </w:p>
    <w:p w:rsidRPr="00BD026A" w:rsidR="00BD026A" w:rsidP="00BD026A" w:rsidRDefault="00BD026A" w14:paraId="1FC1CE9E" w14:textId="4DB53C61">
      <w:pPr>
        <w:spacing w:line="276" w:lineRule="auto"/>
        <w:rPr>
          <w:rFonts w:ascii="Figtree" w:hAnsi="Figtree" w:cs="Tahoma"/>
          <w:b/>
          <w:bCs/>
          <w:lang w:val="en-GB"/>
        </w:rPr>
      </w:pPr>
      <w:r w:rsidRPr="00BD026A">
        <w:rPr>
          <w:rFonts w:ascii="Figtree" w:hAnsi="Figtree" w:cs="Tahoma"/>
          <w:b/>
          <w:bCs/>
          <w:lang w:val="en-GB"/>
        </w:rPr>
        <w:t>About the Authors</w:t>
      </w:r>
    </w:p>
    <w:p w:rsidRPr="00BD026A" w:rsidR="00BD026A" w:rsidP="00BD026A" w:rsidRDefault="00BD026A" w14:paraId="6920469B" w14:textId="77777777">
      <w:pPr>
        <w:spacing w:line="276" w:lineRule="auto"/>
        <w:rPr>
          <w:rFonts w:ascii="Figtree" w:hAnsi="Figtree" w:cs="Tahoma"/>
          <w:lang w:val="en-GB"/>
        </w:rPr>
      </w:pPr>
      <w:hyperlink w:history="1" r:id="rId12">
        <w:r w:rsidRPr="00BD026A">
          <w:rPr>
            <w:rStyle w:val="Hyperlink"/>
            <w:rFonts w:ascii="Figtree" w:hAnsi="Figtree" w:cs="Tahoma"/>
          </w:rPr>
          <w:t>Women with Disabilities Australia</w:t>
        </w:r>
      </w:hyperlink>
      <w:r w:rsidRPr="00BD026A">
        <w:rPr>
          <w:rFonts w:ascii="Figtree" w:hAnsi="Figtree" w:cs="Tahoma"/>
        </w:rPr>
        <w:t xml:space="preserve"> (WWDA) is the National Disabled People’s Organisation (DPO) and National Women’s Alliance (NWA) for women, girls, feminine identifying, and non-binary people with disabilities in Australia. As a DPO and an NWA, WWDA is governed, run, led, staffed by, and constituted of, women, girls, feminine identifying, and non-binary people with disabilities. Our organisation operates as a transnational human rights organisation - meaning that our work, and the impact of our work, extends beyond Australia. WWDA’s work is grounded in a human-rights based framework which links gender and disability issues to a full range of civil, political, economic, social and cultural rights</w:t>
      </w:r>
    </w:p>
    <w:p w:rsidR="00FE3FC9" w:rsidP="00FE3FC9" w:rsidRDefault="00FE3FC9" w14:paraId="5CBC0797" w14:textId="77777777">
      <w:pPr>
        <w:spacing w:line="276" w:lineRule="auto"/>
        <w:rPr>
          <w:rFonts w:ascii="Figtree" w:hAnsi="Figtree" w:cs="Tahoma"/>
        </w:rPr>
      </w:pPr>
    </w:p>
    <w:p w:rsidRPr="001509ED" w:rsidR="001509ED" w:rsidP="001509ED" w:rsidRDefault="001509ED" w14:paraId="75BF0AE5" w14:textId="77777777">
      <w:pPr>
        <w:spacing w:line="276" w:lineRule="auto"/>
        <w:rPr>
          <w:rFonts w:ascii="Figtree" w:hAnsi="Figtree" w:cs="Tahoma"/>
          <w:b/>
          <w:bCs/>
        </w:rPr>
      </w:pPr>
      <w:r w:rsidRPr="4FB02E99">
        <w:rPr>
          <w:rFonts w:ascii="Figtree" w:hAnsi="Figtree" w:cs="Tahoma"/>
          <w:b/>
          <w:bCs/>
        </w:rPr>
        <w:t>1. Introduction</w:t>
      </w:r>
    </w:p>
    <w:p w:rsidRPr="001509ED" w:rsidR="001509ED" w:rsidP="36C6FA5B" w:rsidRDefault="3AF88DD8" w14:paraId="6614E859" w14:textId="11E51345">
      <w:pPr>
        <w:spacing w:line="276" w:lineRule="auto"/>
        <w:rPr>
          <w:rFonts w:ascii="Figtree" w:hAnsi="Figtree" w:cs="Tahoma"/>
        </w:rPr>
      </w:pPr>
      <w:r w:rsidRPr="43E169B7">
        <w:rPr>
          <w:rFonts w:ascii="Figtree" w:hAnsi="Figtree" w:cs="Tahoma"/>
        </w:rPr>
        <w:t xml:space="preserve">Women With Disabilities Australia (WWDA) welcomes the opportunity to contribute to JSA’s Gender Economic Equality Study. Our submission draws on WWDA’s extensive advocacy history, including responses to the </w:t>
      </w:r>
      <w:hyperlink w:history="1" r:id="rId13">
        <w:r w:rsidRPr="00336495" w:rsidR="00336495">
          <w:rPr>
            <w:rStyle w:val="Hyperlink"/>
            <w:rFonts w:ascii="Figtree" w:hAnsi="Figtree" w:cs="Tahoma"/>
          </w:rPr>
          <w:t>Response to the Education and Learning Issues Paper of the Royal Commission into Violence, Abuse, Neglect and Exploitation of People with Disability</w:t>
        </w:r>
      </w:hyperlink>
      <w:r w:rsidR="005909B1">
        <w:rPr>
          <w:rStyle w:val="EndnoteReference"/>
          <w:rFonts w:ascii="Figtree" w:hAnsi="Figtree" w:cs="Tahoma"/>
        </w:rPr>
        <w:endnoteReference w:id="2"/>
      </w:r>
      <w:r w:rsidRPr="43E169B7">
        <w:rPr>
          <w:rFonts w:ascii="Figtree" w:hAnsi="Figtree" w:cs="Tahoma"/>
        </w:rPr>
        <w:t xml:space="preserve">, the </w:t>
      </w:r>
      <w:hyperlink w:history="1" r:id="rId14">
        <w:r w:rsidRPr="43E169B7">
          <w:rPr>
            <w:rStyle w:val="Hyperlink"/>
            <w:rFonts w:ascii="Figtree" w:hAnsi="Figtree" w:cs="Tahoma"/>
          </w:rPr>
          <w:t>Disability Employment Services (DES) Consumer Engagement Project</w:t>
        </w:r>
      </w:hyperlink>
      <w:r w:rsidR="00A75D14">
        <w:rPr>
          <w:rStyle w:val="EndnoteReference"/>
        </w:rPr>
        <w:endnoteReference w:id="3"/>
      </w:r>
      <w:r w:rsidRPr="43E169B7">
        <w:rPr>
          <w:rFonts w:ascii="Figtree" w:hAnsi="Figtree" w:cs="Tahoma"/>
        </w:rPr>
        <w:t>, and systemic policy analysis. This submission aligns with JSA’s Terms of Reference (</w:t>
      </w:r>
      <w:proofErr w:type="spellStart"/>
      <w:r w:rsidRPr="43E169B7">
        <w:rPr>
          <w:rFonts w:ascii="Figtree" w:hAnsi="Figtree" w:cs="Tahoma"/>
        </w:rPr>
        <w:t>ToR</w:t>
      </w:r>
      <w:proofErr w:type="spellEnd"/>
      <w:r w:rsidRPr="43E169B7">
        <w:rPr>
          <w:rFonts w:ascii="Figtree" w:hAnsi="Figtree" w:cs="Tahoma"/>
        </w:rPr>
        <w:t>) by focusing on </w:t>
      </w:r>
      <w:r w:rsidRPr="43E169B7">
        <w:rPr>
          <w:rFonts w:ascii="Figtree" w:hAnsi="Figtree" w:cs="Tahoma"/>
          <w:b/>
          <w:bCs/>
        </w:rPr>
        <w:t>gendered education divides</w:t>
      </w:r>
      <w:r w:rsidRPr="43E169B7">
        <w:rPr>
          <w:rFonts w:ascii="Figtree" w:hAnsi="Figtree" w:cs="Tahoma"/>
        </w:rPr>
        <w:t>, </w:t>
      </w:r>
      <w:r w:rsidRPr="43E169B7">
        <w:rPr>
          <w:rFonts w:ascii="Figtree" w:hAnsi="Figtree" w:cs="Tahoma"/>
          <w:b/>
          <w:bCs/>
        </w:rPr>
        <w:t>occupational segregation</w:t>
      </w:r>
      <w:r w:rsidRPr="43E169B7">
        <w:rPr>
          <w:rFonts w:ascii="Figtree" w:hAnsi="Figtree" w:cs="Tahoma"/>
        </w:rPr>
        <w:t>, and </w:t>
      </w:r>
      <w:r w:rsidRPr="43E169B7">
        <w:rPr>
          <w:rFonts w:ascii="Figtree" w:hAnsi="Figtree" w:cs="Tahoma"/>
          <w:b/>
          <w:bCs/>
        </w:rPr>
        <w:t>intersectional policy solutions</w:t>
      </w:r>
      <w:r w:rsidRPr="43E169B7">
        <w:rPr>
          <w:rFonts w:ascii="Figtree" w:hAnsi="Figtree" w:cs="Tahoma"/>
        </w:rPr>
        <w:t> for women and girls with disability.</w:t>
      </w:r>
    </w:p>
    <w:p w:rsidRPr="001509ED" w:rsidR="001509ED" w:rsidP="001509ED" w:rsidRDefault="001509ED" w14:paraId="29A6E10E" w14:textId="77777777">
      <w:pPr>
        <w:spacing w:line="276" w:lineRule="auto"/>
        <w:rPr>
          <w:rFonts w:ascii="Figtree" w:hAnsi="Figtree" w:cs="Tahoma"/>
        </w:rPr>
      </w:pPr>
    </w:p>
    <w:p w:rsidRPr="001509ED" w:rsidR="001509ED" w:rsidP="001509ED" w:rsidRDefault="55A98B26" w14:paraId="4B2284C2" w14:textId="732B3264">
      <w:pPr>
        <w:spacing w:line="276" w:lineRule="auto"/>
        <w:rPr>
          <w:rFonts w:ascii="Figtree" w:hAnsi="Figtree" w:cs="Tahoma"/>
        </w:rPr>
      </w:pPr>
      <w:r w:rsidRPr="43E169B7">
        <w:rPr>
          <w:rFonts w:ascii="Figtree" w:hAnsi="Figtree" w:cs="Tahoma"/>
        </w:rPr>
        <w:t>WWDA’s recommendations are grounded in Australia’s obligations under the Convention on the Rights of Persons with Disabilities (CRPD)</w:t>
      </w:r>
      <w:r w:rsidR="00767C87">
        <w:rPr>
          <w:rStyle w:val="EndnoteReference"/>
          <w:rFonts w:ascii="Figtree" w:hAnsi="Figtree" w:cs="Tahoma"/>
        </w:rPr>
        <w:endnoteReference w:id="4"/>
      </w:r>
      <w:r w:rsidRPr="43E169B7">
        <w:rPr>
          <w:rFonts w:ascii="Figtree" w:hAnsi="Figtree" w:cs="Tahoma"/>
        </w:rPr>
        <w:t>, the </w:t>
      </w:r>
      <w:r w:rsidRPr="5E13A8B2">
        <w:rPr>
          <w:rFonts w:ascii="Figtree" w:hAnsi="Figtree" w:cs="Tahoma"/>
          <w:i/>
          <w:iCs/>
        </w:rPr>
        <w:t>Working for Women: A Strategy for Gender Equality</w:t>
      </w:r>
      <w:r w:rsidRPr="43E169B7">
        <w:rPr>
          <w:rFonts w:ascii="Figtree" w:hAnsi="Figtree" w:cs="Tahoma"/>
        </w:rPr>
        <w:t> (Priority Area 3)</w:t>
      </w:r>
      <w:r w:rsidR="00311612">
        <w:rPr>
          <w:rStyle w:val="EndnoteReference"/>
          <w:rFonts w:ascii="Figtree" w:hAnsi="Figtree" w:cs="Tahoma"/>
        </w:rPr>
        <w:endnoteReference w:id="5"/>
      </w:r>
      <w:r w:rsidRPr="43E169B7">
        <w:rPr>
          <w:rFonts w:ascii="Figtree" w:hAnsi="Figtree" w:cs="Tahoma"/>
        </w:rPr>
        <w:t xml:space="preserve">, </w:t>
      </w:r>
      <w:proofErr w:type="gramStart"/>
      <w:r w:rsidRPr="43E169B7">
        <w:rPr>
          <w:rFonts w:ascii="Figtree" w:hAnsi="Figtree" w:cs="Tahoma"/>
        </w:rPr>
        <w:t>and  </w:t>
      </w:r>
      <w:r w:rsidRPr="5E13A8B2">
        <w:rPr>
          <w:rFonts w:ascii="Figtree" w:hAnsi="Figtree" w:cs="Tahoma"/>
          <w:i/>
          <w:iCs/>
        </w:rPr>
        <w:t>Australia</w:t>
      </w:r>
      <w:r w:rsidRPr="5E13A8B2" w:rsidR="2C5134FC">
        <w:rPr>
          <w:rFonts w:ascii="Figtree" w:hAnsi="Figtree" w:cs="Tahoma"/>
          <w:i/>
          <w:iCs/>
        </w:rPr>
        <w:t>’s</w:t>
      </w:r>
      <w:proofErr w:type="gramEnd"/>
      <w:r w:rsidRPr="5E13A8B2">
        <w:rPr>
          <w:rFonts w:ascii="Figtree" w:hAnsi="Figtree" w:cs="Tahoma"/>
          <w:i/>
          <w:iCs/>
        </w:rPr>
        <w:t xml:space="preserve"> Disability Strategy 2021–2031</w:t>
      </w:r>
      <w:r w:rsidRPr="43E169B7">
        <w:rPr>
          <w:rFonts w:ascii="Figtree" w:hAnsi="Figtree" w:cs="Tahoma"/>
        </w:rPr>
        <w:t> (Outcome 2: Economic Security)</w:t>
      </w:r>
      <w:r w:rsidR="00842BB7">
        <w:rPr>
          <w:rStyle w:val="EndnoteReference"/>
          <w:rFonts w:ascii="Figtree" w:hAnsi="Figtree" w:cs="Tahoma"/>
        </w:rPr>
        <w:endnoteReference w:id="6"/>
      </w:r>
      <w:r w:rsidRPr="43E169B7">
        <w:rPr>
          <w:rFonts w:ascii="Figtree" w:hAnsi="Figtree" w:cs="Tahoma"/>
        </w:rPr>
        <w:t>.</w:t>
      </w:r>
    </w:p>
    <w:p w:rsidR="001509ED" w:rsidP="00FE3FC9" w:rsidRDefault="001509ED" w14:paraId="35DFCEFF" w14:textId="77777777">
      <w:pPr>
        <w:spacing w:line="276" w:lineRule="auto"/>
        <w:rPr>
          <w:rFonts w:ascii="Figtree" w:hAnsi="Figtree" w:cs="Tahoma"/>
        </w:rPr>
      </w:pPr>
    </w:p>
    <w:p w:rsidRPr="001509ED" w:rsidR="001509ED" w:rsidP="001509ED" w:rsidRDefault="001509ED" w14:paraId="5AC20FFD" w14:textId="77777777">
      <w:pPr>
        <w:spacing w:line="276" w:lineRule="auto"/>
        <w:rPr>
          <w:rFonts w:ascii="Figtree" w:hAnsi="Figtree" w:cs="Tahoma"/>
          <w:b/>
          <w:bCs/>
        </w:rPr>
      </w:pPr>
      <w:r w:rsidRPr="001509ED">
        <w:rPr>
          <w:rFonts w:ascii="Figtree" w:hAnsi="Figtree" w:cs="Tahoma"/>
          <w:b/>
          <w:bCs/>
        </w:rPr>
        <w:lastRenderedPageBreak/>
        <w:t>2. Gendered Education Divides: Systemic Barriers for Women and Girls with Disability</w:t>
      </w:r>
    </w:p>
    <w:p w:rsidRPr="001509ED" w:rsidR="001509ED" w:rsidP="001509ED" w:rsidRDefault="40C7BAC3" w14:paraId="61EC55FE" w14:textId="5D53A2BD">
      <w:pPr>
        <w:spacing w:line="276" w:lineRule="auto"/>
        <w:rPr>
          <w:rFonts w:ascii="Figtree" w:hAnsi="Figtree" w:cs="Tahoma"/>
          <w:b/>
          <w:bCs/>
        </w:rPr>
      </w:pPr>
      <w:r w:rsidRPr="5E13A8B2">
        <w:rPr>
          <w:rFonts w:ascii="Figtree" w:hAnsi="Figtree" w:cs="Tahoma"/>
          <w:b/>
          <w:bCs/>
        </w:rPr>
        <w:t xml:space="preserve">2.1 Segregated Education </w:t>
      </w:r>
    </w:p>
    <w:p w:rsidR="001509ED" w:rsidP="001509ED" w:rsidRDefault="55A98B26" w14:paraId="42ABDF7E" w14:textId="2D0256CB">
      <w:pPr>
        <w:spacing w:line="276" w:lineRule="auto"/>
        <w:rPr>
          <w:rFonts w:ascii="Figtree" w:hAnsi="Figtree" w:cs="Tahoma"/>
        </w:rPr>
      </w:pPr>
      <w:r w:rsidRPr="43E169B7">
        <w:rPr>
          <w:rFonts w:ascii="Figtree" w:hAnsi="Figtree" w:cs="Tahoma"/>
        </w:rPr>
        <w:t>WWDA’s 2020 </w:t>
      </w:r>
      <w:hyperlink r:id="rId15">
        <w:r w:rsidRPr="5E13A8B2">
          <w:rPr>
            <w:rStyle w:val="Hyperlink"/>
            <w:rFonts w:ascii="Figtree" w:hAnsi="Figtree" w:cs="Tahoma"/>
            <w:i/>
            <w:iCs/>
          </w:rPr>
          <w:t>Response to the Royal Commission’s Education and Learning Issues Paper</w:t>
        </w:r>
      </w:hyperlink>
      <w:r w:rsidR="00C4549F">
        <w:rPr>
          <w:rStyle w:val="EndnoteReference"/>
        </w:rPr>
        <w:endnoteReference w:id="7"/>
      </w:r>
      <w:r w:rsidR="4C66B82C">
        <w:t xml:space="preserve"> </w:t>
      </w:r>
      <w:r w:rsidRPr="43E169B7">
        <w:rPr>
          <w:rFonts w:ascii="Figtree" w:hAnsi="Figtree" w:cs="Tahoma"/>
        </w:rPr>
        <w:t>highlights the systemic segregation of students with disability into “special” schools or units, which restricts exposure to mainstream vocational training and reinforces gendered occupational divides. This segregation contravenes CRPD Article 24 (inclusive education)</w:t>
      </w:r>
      <w:r w:rsidR="00361C44">
        <w:rPr>
          <w:rStyle w:val="EndnoteReference"/>
          <w:rFonts w:ascii="Figtree" w:hAnsi="Figtree" w:cs="Tahoma"/>
        </w:rPr>
        <w:endnoteReference w:id="8"/>
      </w:r>
      <w:r w:rsidRPr="43E169B7" w:rsidR="4C66B82C">
        <w:rPr>
          <w:rFonts w:ascii="Figtree" w:hAnsi="Figtree" w:cs="Tahoma"/>
        </w:rPr>
        <w:t xml:space="preserve"> </w:t>
      </w:r>
      <w:r w:rsidRPr="43E169B7">
        <w:rPr>
          <w:rFonts w:ascii="Figtree" w:hAnsi="Figtree" w:cs="Tahoma"/>
        </w:rPr>
        <w:t xml:space="preserve">and entrenches low expectations, </w:t>
      </w:r>
      <w:r w:rsidRPr="43E169B7" w:rsidR="71051323">
        <w:rPr>
          <w:rFonts w:ascii="Figtree" w:hAnsi="Figtree" w:cs="Tahoma"/>
        </w:rPr>
        <w:t>funnelling</w:t>
      </w:r>
      <w:r w:rsidRPr="43E169B7">
        <w:rPr>
          <w:rFonts w:ascii="Figtree" w:hAnsi="Figtree" w:cs="Tahoma"/>
        </w:rPr>
        <w:t xml:space="preserve"> women with disability into undervalued industries like care work or cleaning</w:t>
      </w:r>
      <w:r w:rsidRPr="43E169B7" w:rsidR="71051323">
        <w:rPr>
          <w:rFonts w:ascii="Figtree" w:hAnsi="Figtree" w:cs="Tahoma"/>
        </w:rPr>
        <w:t>.</w:t>
      </w:r>
    </w:p>
    <w:p w:rsidR="0074110C" w:rsidP="001509ED" w:rsidRDefault="0074110C" w14:paraId="6285C88A" w14:textId="77777777">
      <w:pPr>
        <w:spacing w:line="276" w:lineRule="auto"/>
        <w:rPr>
          <w:rFonts w:ascii="Figtree" w:hAnsi="Figtree" w:cs="Tahoma"/>
        </w:rPr>
      </w:pPr>
    </w:p>
    <w:p w:rsidR="0074110C" w:rsidP="001509ED" w:rsidRDefault="0074110C" w14:paraId="5C937A32" w14:textId="51839C2A">
      <w:pPr>
        <w:spacing w:line="276" w:lineRule="auto"/>
        <w:rPr>
          <w:rFonts w:ascii="Figtree" w:hAnsi="Figtree" w:cs="Tahoma"/>
        </w:rPr>
      </w:pPr>
      <w:r>
        <w:rPr>
          <w:rFonts w:ascii="Figtree" w:hAnsi="Figtree" w:cs="Tahoma"/>
          <w:b/>
          <w:bCs/>
        </w:rPr>
        <w:t xml:space="preserve">2.2 </w:t>
      </w:r>
      <w:r w:rsidRPr="0A54188E">
        <w:rPr>
          <w:rFonts w:ascii="Figtree" w:hAnsi="Figtree" w:cs="Tahoma"/>
          <w:b/>
          <w:bCs/>
        </w:rPr>
        <w:t>Limited Career Pathways</w:t>
      </w:r>
      <w:r w:rsidRPr="0074110C">
        <w:rPr>
          <w:rFonts w:ascii="Figtree" w:hAnsi="Figtree" w:cs="Tahoma"/>
        </w:rPr>
        <w:t xml:space="preserve"> </w:t>
      </w:r>
    </w:p>
    <w:p w:rsidR="00DA497D" w:rsidP="00DA497D" w:rsidRDefault="095582D3" w14:paraId="0143A260" w14:textId="3EB4FBFF">
      <w:pPr>
        <w:spacing w:line="276" w:lineRule="auto"/>
        <w:rPr>
          <w:rFonts w:ascii="Figtree" w:hAnsi="Figtree" w:cs="Tahoma"/>
        </w:rPr>
      </w:pPr>
      <w:r w:rsidRPr="5E13A8B2" w:rsidR="095582D3">
        <w:rPr>
          <w:rFonts w:ascii="Figtree" w:hAnsi="Figtree" w:cs="Tahoma"/>
        </w:rPr>
        <w:t xml:space="preserve">This trajectory intersects with systemic barriers disproportionately </w:t>
      </w:r>
      <w:r w:rsidRPr="5E13A8B2" w:rsidR="095582D3">
        <w:rPr>
          <w:rFonts w:ascii="Figtree" w:hAnsi="Figtree" w:cs="Tahoma"/>
        </w:rPr>
        <w:t>impacting</w:t>
      </w:r>
      <w:r w:rsidRPr="5E13A8B2" w:rsidR="095582D3">
        <w:rPr>
          <w:rFonts w:ascii="Figtree" w:hAnsi="Figtree" w:cs="Tahoma"/>
        </w:rPr>
        <w:t xml:space="preserve"> women and girls with intellectual disability. Inclusion Australia’s analysis of </w:t>
      </w:r>
      <w:r w:rsidRPr="5E13A8B2" w:rsidR="20B8ED90">
        <w:rPr>
          <w:rFonts w:ascii="Figtree" w:hAnsi="Figtree" w:cs="Tahoma"/>
        </w:rPr>
        <w:t>“</w:t>
      </w:r>
      <w:r w:rsidRPr="5E13A8B2" w:rsidR="095582D3">
        <w:rPr>
          <w:rFonts w:ascii="Figtree" w:hAnsi="Figtree" w:cs="Tahoma"/>
        </w:rPr>
        <w:t xml:space="preserve">the polished pathway” </w:t>
      </w:r>
      <w:r w:rsidRPr="5E13A8B2" w:rsidR="095582D3">
        <w:rPr>
          <w:rFonts w:ascii="Figtree" w:hAnsi="Figtree" w:cs="Tahoma"/>
        </w:rPr>
        <w:t>demonstrates</w:t>
      </w:r>
      <w:r w:rsidRPr="5E13A8B2" w:rsidR="095582D3">
        <w:rPr>
          <w:rFonts w:ascii="Figtree" w:hAnsi="Figtree" w:cs="Tahoma"/>
        </w:rPr>
        <w:t xml:space="preserve"> how segregated education settings funnel students into Australian Disability Enterprises (ADEs)</w:t>
      </w:r>
      <w:r w:rsidR="00DA497D">
        <w:rPr>
          <w:rStyle w:val="EndnoteReference"/>
          <w:rFonts w:ascii="Figtree" w:hAnsi="Figtree" w:cs="Tahoma"/>
        </w:rPr>
        <w:endnoteReference w:id="9"/>
      </w:r>
      <w:r w:rsidRPr="5E13A8B2" w:rsidR="095582D3">
        <w:rPr>
          <w:rFonts w:ascii="Figtree" w:hAnsi="Figtree" w:cs="Tahoma"/>
        </w:rPr>
        <w:t>, where </w:t>
      </w:r>
      <w:r w:rsidRPr="00A9423F" w:rsidR="095582D3">
        <w:rPr>
          <w:rFonts w:ascii="Figtree" w:hAnsi="Figtree" w:cs="Tahoma"/>
        </w:rPr>
        <w:t>70% of NDIS participants aged 25+ with intellectual disability in employment work in ADEs</w:t>
      </w:r>
      <w:r w:rsidR="00DA497D">
        <w:rPr>
          <w:rStyle w:val="EndnoteReference"/>
          <w:rFonts w:ascii="Figtree" w:hAnsi="Figtree" w:cs="Tahoma"/>
        </w:rPr>
        <w:endnoteReference w:id="10"/>
      </w:r>
      <w:r w:rsidRPr="5E13A8B2" w:rsidR="095582D3">
        <w:rPr>
          <w:rFonts w:ascii="Figtree" w:hAnsi="Figtree" w:cs="Tahoma"/>
        </w:rPr>
        <w:t xml:space="preserve">. This structural segregation </w:t>
      </w:r>
      <w:r w:rsidRPr="5E13A8B2" w:rsidR="0139E5AF">
        <w:rPr>
          <w:rFonts w:ascii="Figtree" w:hAnsi="Figtree" w:cs="Tahoma"/>
        </w:rPr>
        <w:t>intersects with</w:t>
      </w:r>
      <w:r w:rsidRPr="5E13A8B2" w:rsidR="095582D3">
        <w:rPr>
          <w:rFonts w:ascii="Figtree" w:hAnsi="Figtree" w:cs="Tahoma"/>
        </w:rPr>
        <w:t xml:space="preserve"> broader gendered labour market trends </w:t>
      </w:r>
      <w:r w:rsidRPr="5E13A8B2" w:rsidR="095582D3">
        <w:rPr>
          <w:rFonts w:ascii="Figtree" w:hAnsi="Figtree" w:cs="Tahoma"/>
        </w:rPr>
        <w:t xml:space="preserve">identified</w:t>
      </w:r>
      <w:r w:rsidRPr="5E13A8B2" w:rsidR="095582D3">
        <w:rPr>
          <w:rFonts w:ascii="Figtree" w:hAnsi="Figtree" w:cs="Tahoma"/>
        </w:rPr>
        <w:t xml:space="preserve"> in the JSA Gender Economic Equality Study, which emphasises horizontal occupational segregation and the undervaluation of feminised work. ADEs perpetuate this inequity by offering sub-minimum wages</w:t>
      </w:r>
      <w:r w:rsidR="00D011B0">
        <w:rPr>
          <w:rStyle w:val="EndnoteReference"/>
          <w:rFonts w:ascii="Figtree" w:hAnsi="Figtree" w:cs="Tahoma"/>
        </w:rPr>
        <w:endnoteReference w:id="11"/>
      </w:r>
      <w:r w:rsidRPr="5E13A8B2" w:rsidR="00D011B0">
        <w:rPr>
          <w:rFonts w:ascii="Figtree" w:hAnsi="Figtree" w:cs="Tahoma"/>
        </w:rPr>
        <w:t xml:space="preserve"> </w:t>
      </w:r>
      <w:r w:rsidRPr="5E13A8B2" w:rsidR="095582D3">
        <w:rPr>
          <w:rFonts w:ascii="Figtree" w:hAnsi="Figtree" w:cs="Tahoma"/>
        </w:rPr>
        <w:t>(as low as $</w:t>
      </w:r>
      <w:r w:rsidRPr="5E13A8B2" w:rsidR="1356D707">
        <w:rPr>
          <w:rFonts w:ascii="Figtree" w:hAnsi="Figtree" w:cs="Tahoma"/>
        </w:rPr>
        <w:t>3.00</w:t>
      </w:r>
      <w:r w:rsidRPr="5E13A8B2" w:rsidR="095582D3">
        <w:rPr>
          <w:rFonts w:ascii="Figtree" w:hAnsi="Figtree" w:cs="Tahoma"/>
        </w:rPr>
        <w:t>/hour)</w:t>
      </w:r>
      <w:r w:rsidR="00A9423F">
        <w:rPr>
          <w:rStyle w:val="EndnoteReference"/>
          <w:rFonts w:ascii="Figtree" w:hAnsi="Figtree" w:cs="Tahoma"/>
        </w:rPr>
        <w:endnoteReference w:id="12"/>
      </w:r>
      <w:r w:rsidRPr="5E13A8B2" w:rsidR="095582D3">
        <w:rPr>
          <w:rFonts w:ascii="Figtree" w:hAnsi="Figtree" w:cs="Tahoma"/>
        </w:rPr>
        <w:t xml:space="preserve"> and limited pathways to open employment, disproportionately affecting women with intellectual disability who face compounded barriers due to gendered assumptions about care roles and “</w:t>
      </w:r>
      <w:r w:rsidRPr="5E13A8B2" w:rsidR="095582D3">
        <w:rPr>
          <w:rFonts w:ascii="Figtree" w:hAnsi="Figtree" w:cs="Tahoma"/>
        </w:rPr>
        <w:t>low-skill</w:t>
      </w:r>
      <w:r w:rsidRPr="5E13A8B2" w:rsidR="095582D3">
        <w:rPr>
          <w:rFonts w:ascii="Figtree" w:hAnsi="Figtree" w:cs="Tahoma"/>
        </w:rPr>
        <w:t>” labour.</w:t>
      </w:r>
    </w:p>
    <w:p w:rsidRPr="00DA497D" w:rsidR="005C79FA" w:rsidP="00DA497D" w:rsidRDefault="005C79FA" w14:paraId="15D491DB" w14:textId="77777777">
      <w:pPr>
        <w:spacing w:line="276" w:lineRule="auto"/>
        <w:rPr>
          <w:rFonts w:ascii="Figtree" w:hAnsi="Figtree" w:cs="Tahoma"/>
        </w:rPr>
      </w:pPr>
    </w:p>
    <w:p w:rsidRPr="005C79FA" w:rsidR="00DA497D" w:rsidP="00DA497D" w:rsidRDefault="00323A2A" w14:paraId="1AB8DF45" w14:textId="0CDBF2E3">
      <w:pPr>
        <w:spacing w:line="276" w:lineRule="auto"/>
        <w:rPr>
          <w:rFonts w:ascii="Figtree" w:hAnsi="Figtree" w:cs="Tahoma"/>
        </w:rPr>
      </w:pPr>
      <w:r w:rsidR="00323A2A">
        <w:rPr>
          <w:rFonts w:ascii="Figtree" w:hAnsi="Figtree" w:cs="Tahoma"/>
        </w:rPr>
        <w:t xml:space="preserve">Inclusion Australia </w:t>
      </w:r>
      <w:r w:rsidR="004E0DF4">
        <w:rPr>
          <w:rFonts w:ascii="Figtree" w:hAnsi="Figtree" w:cs="Tahoma"/>
        </w:rPr>
        <w:t>ha</w:t>
      </w:r>
      <w:r w:rsidR="063B406B">
        <w:rPr>
          <w:rFonts w:ascii="Figtree" w:hAnsi="Figtree" w:cs="Tahoma"/>
        </w:rPr>
        <w:t>s</w:t>
      </w:r>
      <w:r w:rsidR="004E0DF4">
        <w:rPr>
          <w:rFonts w:ascii="Figtree" w:hAnsi="Figtree" w:cs="Tahoma"/>
        </w:rPr>
        <w:t xml:space="preserve"> conceptualised this as “t</w:t>
      </w:r>
      <w:r w:rsidRPr="5E13A8B2" w:rsidR="095582D3">
        <w:rPr>
          <w:rFonts w:ascii="Figtree" w:hAnsi="Figtree" w:cs="Tahoma"/>
        </w:rPr>
        <w:t>he polished pathway</w:t>
      </w:r>
      <w:r w:rsidR="004E0DF4">
        <w:rPr>
          <w:rFonts w:ascii="Figtree" w:hAnsi="Figtree" w:cs="Tahoma"/>
        </w:rPr>
        <w:t>”</w:t>
      </w:r>
      <w:r w:rsidR="007B153A">
        <w:rPr>
          <w:rFonts w:ascii="Figtree" w:hAnsi="Figtree" w:cs="Tahoma"/>
        </w:rPr>
        <w:t xml:space="preserve"> </w:t>
      </w:r>
      <w:r w:rsidRPr="3EA0DD33" w:rsidR="007B153A">
        <w:rPr>
          <w:rFonts w:ascii="Figtree" w:hAnsi="Figtree" w:eastAsia="Figtree" w:cs="Figtree"/>
          <w:b w:val="0"/>
          <w:bCs w:val="0"/>
          <w:i w:val="0"/>
          <w:iCs w:val="0"/>
          <w:caps w:val="0"/>
          <w:smallCaps w:val="0"/>
          <w:strike w:val="0"/>
          <w:dstrike w:val="0"/>
          <w:noProof w:val="0"/>
          <w:color w:val="000000" w:themeColor="text1" w:themeTint="FF" w:themeShade="FF"/>
          <w:sz w:val="24"/>
          <w:szCs w:val="24"/>
          <w:u w:val="none"/>
          <w:lang w:val="en-AU"/>
        </w:rPr>
        <w:t>—</w:t>
      </w:r>
      <w:r w:rsidRPr="5E13A8B2" w:rsidR="007B153A">
        <w:rPr>
          <w:rFonts w:ascii="Figtree" w:hAnsi="Figtree" w:cs="Tahoma"/>
        </w:rPr>
        <w:t xml:space="preserve"> </w:t>
      </w:r>
      <w:r w:rsidRPr="5E13A8B2" w:rsidR="095582D3">
        <w:rPr>
          <w:rFonts w:ascii="Figtree" w:hAnsi="Figtree" w:cs="Tahoma"/>
        </w:rPr>
        <w:t>segregated education → ADE</w:t>
      </w:r>
      <w:r w:rsidRPr="5E13A8B2" w:rsidR="10A61EBD">
        <w:rPr>
          <w:rFonts w:ascii="Figtree" w:hAnsi="Figtree" w:cs="Tahoma"/>
        </w:rPr>
        <w:t xml:space="preserve"> </w:t>
      </w:r>
      <w:r w:rsidRPr="3EA0DD33" w:rsidR="53CB3365">
        <w:rPr>
          <w:rFonts w:ascii="Figtree" w:hAnsi="Figtree" w:eastAsia="Figtree" w:cs="Figtree"/>
          <w:b w:val="0"/>
          <w:bCs w:val="0"/>
          <w:i w:val="0"/>
          <w:iCs w:val="0"/>
          <w:caps w:val="0"/>
          <w:smallCaps w:val="0"/>
          <w:strike w:val="0"/>
          <w:dstrike w:val="0"/>
          <w:noProof w:val="0"/>
          <w:color w:val="000000" w:themeColor="text1" w:themeTint="FF" w:themeShade="FF"/>
          <w:sz w:val="24"/>
          <w:szCs w:val="24"/>
          <w:u w:val="none"/>
          <w:lang w:val="en-AU"/>
        </w:rPr>
        <w:t>—</w:t>
      </w:r>
      <w:r w:rsidRPr="5E13A8B2" w:rsidR="53CB3365">
        <w:rPr>
          <w:rFonts w:ascii="Figtree" w:hAnsi="Figtree" w:cs="Tahoma"/>
        </w:rPr>
        <w:t xml:space="preserve"> </w:t>
      </w:r>
      <w:r w:rsidR="095582D3">
        <w:rPr>
          <w:rFonts w:ascii="Figtree" w:hAnsi="Figtree" w:cs="Tahoma"/>
        </w:rPr>
        <w:t xml:space="preserve">reflects systemic failures to address disability </w:t>
      </w:r>
      <w:r w:rsidRPr="5E13A8B2" w:rsidR="095582D3">
        <w:rPr>
          <w:rFonts w:ascii="Figtree" w:hAnsi="Figtree" w:cs="Tahoma"/>
        </w:rPr>
        <w:t xml:space="preserve">discrimination</w:t>
      </w:r>
      <w:r w:rsidRPr="5E13A8B2" w:rsidR="00990449">
        <w:rPr>
          <w:rFonts w:ascii="Figtree" w:hAnsi="Figtree" w:cs="Tahoma"/>
        </w:rPr>
        <w:t xml:space="preserve">.</w:t>
      </w:r>
      <w:r w:rsidRPr="5E13A8B2" w:rsidR="095582D3">
        <w:rPr>
          <w:rFonts w:ascii="Figtree" w:hAnsi="Figtree" w:cs="Tahoma"/>
        </w:rPr>
        <w:t xml:space="preserve"> Testimonies from </w:t>
      </w:r>
      <w:r w:rsidRPr="5E13A8B2" w:rsidR="2B973034">
        <w:rPr>
          <w:rFonts w:ascii="Figtree" w:hAnsi="Figtree" w:cs="Tahoma"/>
        </w:rPr>
        <w:t xml:space="preserve">workers in </w:t>
      </w:r>
      <w:r w:rsidRPr="5E13A8B2" w:rsidR="095582D3">
        <w:rPr>
          <w:rFonts w:ascii="Figtree" w:hAnsi="Figtree" w:cs="Tahoma"/>
        </w:rPr>
        <w:t xml:space="preserve">ADE</w:t>
      </w:r>
      <w:r w:rsidRPr="5E13A8B2" w:rsidR="652F4720">
        <w:rPr>
          <w:rFonts w:ascii="Figtree" w:hAnsi="Figtree" w:cs="Tahoma"/>
        </w:rPr>
        <w:t xml:space="preserve">s</w:t>
      </w:r>
      <w:r w:rsidRPr="5E13A8B2" w:rsidR="095582D3">
        <w:rPr>
          <w:rFonts w:ascii="Figtree" w:hAnsi="Figtree" w:cs="Tahoma"/>
        </w:rPr>
        <w:t xml:space="preserve"> underscore how these settings entrench poverty cycles. Less than 1% of </w:t>
      </w:r>
      <w:r w:rsidRPr="5E13A8B2" w:rsidR="3CF6A10F">
        <w:rPr>
          <w:rFonts w:ascii="Figtree" w:hAnsi="Figtree" w:cs="Tahoma"/>
        </w:rPr>
        <w:t xml:space="preserve">workers in </w:t>
      </w:r>
      <w:r w:rsidRPr="5E13A8B2" w:rsidR="095582D3">
        <w:rPr>
          <w:rFonts w:ascii="Figtree" w:hAnsi="Figtree" w:cs="Tahoma"/>
        </w:rPr>
        <w:t xml:space="preserve">ADE</w:t>
      </w:r>
      <w:r w:rsidR="005C79FA">
        <w:rPr>
          <w:rStyle w:val="EndnoteReference"/>
          <w:rFonts w:ascii="Figtree" w:hAnsi="Figtree" w:cs="Tahoma"/>
        </w:rPr>
        <w:endnoteReference w:id="13"/>
      </w:r>
      <w:r w:rsidRPr="5E13A8B2" w:rsidR="095582D3">
        <w:rPr>
          <w:rFonts w:ascii="Figtree" w:hAnsi="Figtree" w:cs="Tahoma"/>
        </w:rPr>
        <w:t xml:space="preserve"> transition to mainstream employment</w:t>
      </w:r>
      <w:r w:rsidR="00AC5EC8">
        <w:rPr>
          <w:rStyle w:val="EndnoteReference"/>
          <w:rFonts w:ascii="Figtree" w:hAnsi="Figtree" w:cs="Tahoma"/>
        </w:rPr>
        <w:endnoteReference w:id="14"/>
      </w:r>
      <w:r w:rsidRPr="5E13A8B2" w:rsidR="095582D3">
        <w:rPr>
          <w:rFonts w:ascii="Figtree" w:hAnsi="Figtree" w:cs="Tahoma"/>
        </w:rPr>
        <w:t xml:space="preserve">, locking women with disability into economic precarity. This systemic exclusion contravenes Australia’s obligations under CRPD Article 27 (right to work)</w:t>
      </w:r>
      <w:r w:rsidRPr="3EA0DD33" w:rsidR="00AC5EC8">
        <w:rPr/>
        <w:t>￼</w:t>
      </w:r>
      <w:r w:rsidRPr="5E13A8B2" w:rsidR="095582D3">
        <w:rPr>
          <w:rFonts w:ascii="Figtree" w:hAnsi="Figtree" w:cs="Tahoma"/>
        </w:rPr>
        <w:t xml:space="preserve"> and entrenches gendered poverty, as women with disability face a </w:t>
      </w:r>
      <w:r w:rsidRPr="3EA0DD33" w:rsidR="095582D3">
        <w:rPr>
          <w:rFonts w:ascii="Figtree" w:hAnsi="Figtree" w:cs="Tahoma"/>
        </w:rPr>
        <w:t>double burden of occupational segregation and wage theft</w:t>
      </w:r>
      <w:r w:rsidRPr="3EA0DD33" w:rsidR="4E5319F3">
        <w:rPr>
          <w:rFonts w:ascii="Figtree" w:hAnsi="Figtree" w:cs="Tahoma"/>
        </w:rPr>
        <w:t>.</w:t>
      </w:r>
    </w:p>
    <w:p w:rsidR="006830AD" w:rsidP="001509ED" w:rsidRDefault="006830AD" w14:paraId="72A84696" w14:textId="77777777">
      <w:pPr>
        <w:spacing w:line="276" w:lineRule="auto"/>
        <w:rPr>
          <w:rFonts w:ascii="Figtree" w:hAnsi="Figtree" w:cs="Tahoma"/>
          <w:b/>
          <w:bCs/>
        </w:rPr>
      </w:pPr>
    </w:p>
    <w:p w:rsidRPr="001509ED" w:rsidR="001509ED" w:rsidP="001509ED" w:rsidRDefault="001509ED" w14:paraId="6252A0BD" w14:textId="300968FA">
      <w:pPr>
        <w:spacing w:line="276" w:lineRule="auto"/>
        <w:rPr>
          <w:rFonts w:ascii="Figtree" w:hAnsi="Figtree" w:cs="Tahoma"/>
          <w:b/>
          <w:bCs/>
        </w:rPr>
      </w:pPr>
      <w:r w:rsidRPr="001509ED">
        <w:rPr>
          <w:rFonts w:ascii="Figtree" w:hAnsi="Figtree" w:cs="Tahoma"/>
          <w:b/>
          <w:bCs/>
        </w:rPr>
        <w:t>2.</w:t>
      </w:r>
      <w:r w:rsidR="0074110C">
        <w:rPr>
          <w:rFonts w:ascii="Figtree" w:hAnsi="Figtree" w:cs="Tahoma"/>
          <w:b/>
          <w:bCs/>
        </w:rPr>
        <w:t>3</w:t>
      </w:r>
      <w:r w:rsidRPr="001509ED">
        <w:rPr>
          <w:rFonts w:ascii="Figtree" w:hAnsi="Figtree" w:cs="Tahoma"/>
          <w:b/>
          <w:bCs/>
        </w:rPr>
        <w:t> Restrictive Practices and Violence in Education</w:t>
      </w:r>
    </w:p>
    <w:p w:rsidR="00E13BF7" w:rsidP="36C6FA5B" w:rsidRDefault="55A98B26" w14:paraId="60E80F5A" w14:textId="303F4DC8">
      <w:pPr>
        <w:spacing w:line="276" w:lineRule="auto"/>
        <w:rPr>
          <w:rFonts w:ascii="Figtree" w:hAnsi="Figtree" w:cs="Tahoma"/>
        </w:rPr>
      </w:pPr>
      <w:r w:rsidRPr="43E169B7">
        <w:rPr>
          <w:rFonts w:ascii="Figtree" w:hAnsi="Figtree" w:cs="Tahoma"/>
        </w:rPr>
        <w:t>Women and girls with disability face disproportionate rates of physical restraint, seclusion, and bullying in educational settings, undermining workforce readiness</w:t>
      </w:r>
      <w:r w:rsidR="00844E10">
        <w:rPr>
          <w:rStyle w:val="EndnoteReference"/>
          <w:rFonts w:ascii="Figtree" w:hAnsi="Figtree" w:cs="Tahoma"/>
        </w:rPr>
        <w:endnoteReference w:id="15"/>
      </w:r>
      <w:r w:rsidRPr="43E169B7">
        <w:rPr>
          <w:rFonts w:ascii="Figtree" w:hAnsi="Figtree" w:cs="Tahoma"/>
        </w:rPr>
        <w:t>. These practices violate CRPD Article 15 (freedom from torture)</w:t>
      </w:r>
      <w:r w:rsidR="00844E10">
        <w:rPr>
          <w:rStyle w:val="EndnoteReference"/>
          <w:rFonts w:ascii="Figtree" w:hAnsi="Figtree" w:cs="Tahoma"/>
        </w:rPr>
        <w:endnoteReference w:id="16"/>
      </w:r>
      <w:r w:rsidRPr="43E169B7" w:rsidR="5CDCEF3F">
        <w:rPr>
          <w:rFonts w:ascii="Figtree" w:hAnsi="Figtree" w:cs="Tahoma"/>
        </w:rPr>
        <w:t xml:space="preserve"> </w:t>
      </w:r>
      <w:r w:rsidRPr="43E169B7">
        <w:rPr>
          <w:rFonts w:ascii="Figtree" w:hAnsi="Figtree" w:cs="Tahoma"/>
        </w:rPr>
        <w:t xml:space="preserve">and contribute to trauma that limits </w:t>
      </w:r>
      <w:r w:rsidRPr="43E169B7">
        <w:rPr>
          <w:rFonts w:ascii="Figtree" w:hAnsi="Figtree" w:cs="Tahoma"/>
        </w:rPr>
        <w:lastRenderedPageBreak/>
        <w:t>economic participation.</w:t>
      </w:r>
      <w:r w:rsidRPr="43E169B7" w:rsidR="412EFBEB">
        <w:rPr>
          <w:rFonts w:ascii="Figtree" w:hAnsi="Figtree" w:cs="Tahoma"/>
        </w:rPr>
        <w:t xml:space="preserve"> </w:t>
      </w:r>
      <w:r w:rsidRPr="43E169B7" w:rsidR="21331C2A">
        <w:rPr>
          <w:rFonts w:ascii="Figtree" w:hAnsi="Figtree" w:cs="Tahoma"/>
        </w:rPr>
        <w:t>WWDA ha</w:t>
      </w:r>
      <w:r w:rsidRPr="43E169B7" w:rsidR="2A6CDBE3">
        <w:rPr>
          <w:rFonts w:ascii="Figtree" w:hAnsi="Figtree" w:cs="Tahoma"/>
        </w:rPr>
        <w:t>s</w:t>
      </w:r>
      <w:r w:rsidRPr="43E169B7" w:rsidR="21331C2A">
        <w:rPr>
          <w:rFonts w:ascii="Figtree" w:hAnsi="Figtree" w:cs="Tahoma"/>
        </w:rPr>
        <w:t xml:space="preserve"> previously advocated for a comprehensive set of educational reforms in the 2023 Submission to the</w:t>
      </w:r>
      <w:r w:rsidRPr="5E13A8B2" w:rsidR="21331C2A">
        <w:rPr>
          <w:rFonts w:ascii="Figtree" w:hAnsi="Figtree" w:cs="Tahoma"/>
          <w:i/>
          <w:iCs/>
        </w:rPr>
        <w:t xml:space="preserve"> </w:t>
      </w:r>
      <w:hyperlink r:id="rId16">
        <w:r w:rsidRPr="5E13A8B2" w:rsidR="21331C2A">
          <w:rPr>
            <w:rStyle w:val="Hyperlink"/>
            <w:rFonts w:ascii="Figtree" w:hAnsi="Figtree" w:cs="Tahoma"/>
            <w:i/>
            <w:iCs/>
          </w:rPr>
          <w:t>Review to Inform a Better and Fairer Education System</w:t>
        </w:r>
        <w:r w:rsidRPr="5E13A8B2" w:rsidR="0009293F">
          <w:rPr>
            <w:rStyle w:val="EndnoteReference"/>
            <w:rFonts w:ascii="Figtree" w:hAnsi="Figtree" w:cs="Tahoma"/>
            <w:i/>
            <w:iCs/>
            <w:color w:val="0563C1" w:themeColor="hyperlink"/>
            <w:u w:val="single"/>
          </w:rPr>
          <w:endnoteReference w:id="17"/>
        </w:r>
        <w:r w:rsidRPr="5E13A8B2" w:rsidR="21331C2A">
          <w:rPr>
            <w:rStyle w:val="Hyperlink"/>
            <w:rFonts w:ascii="Figtree" w:hAnsi="Figtree" w:cs="Tahoma"/>
            <w:i/>
            <w:iCs/>
          </w:rPr>
          <w:t>.</w:t>
        </w:r>
      </w:hyperlink>
      <w:r w:rsidRPr="5E13A8B2" w:rsidR="21331C2A">
        <w:rPr>
          <w:rFonts w:ascii="Figtree" w:hAnsi="Figtree" w:cs="Tahoma"/>
          <w:i/>
          <w:iCs/>
        </w:rPr>
        <w:t xml:space="preserve"> </w:t>
      </w:r>
      <w:r w:rsidRPr="43E169B7" w:rsidR="21331C2A">
        <w:rPr>
          <w:rFonts w:ascii="Figtree" w:hAnsi="Figtree" w:cs="Tahoma"/>
        </w:rPr>
        <w:t>In consolidating these recommendations for the present JSA Study:</w:t>
      </w:r>
    </w:p>
    <w:p w:rsidRPr="001509ED" w:rsidR="001509ED" w:rsidP="001509ED" w:rsidRDefault="001509ED" w14:paraId="49DD84DE" w14:textId="41B53CBE">
      <w:pPr>
        <w:numPr>
          <w:ilvl w:val="0"/>
          <w:numId w:val="31"/>
        </w:numPr>
        <w:spacing w:line="276" w:lineRule="auto"/>
        <w:rPr>
          <w:rFonts w:ascii="Figtree" w:hAnsi="Figtree" w:cs="Tahoma"/>
        </w:rPr>
      </w:pPr>
      <w:r w:rsidRPr="001509ED">
        <w:rPr>
          <w:rFonts w:ascii="Figtree" w:hAnsi="Figtree" w:cs="Tahoma"/>
        </w:rPr>
        <w:t xml:space="preserve">Ban restrictive practices in schools and invest in </w:t>
      </w:r>
      <w:r w:rsidR="006830AD">
        <w:rPr>
          <w:rFonts w:ascii="Figtree" w:hAnsi="Figtree" w:cs="Tahoma"/>
        </w:rPr>
        <w:t xml:space="preserve">disability-led </w:t>
      </w:r>
      <w:r w:rsidRPr="001509ED">
        <w:rPr>
          <w:rFonts w:ascii="Figtree" w:hAnsi="Figtree" w:cs="Tahoma"/>
        </w:rPr>
        <w:t>trauma-informed training for educators</w:t>
      </w:r>
      <w:r w:rsidRPr="006830AD" w:rsidR="006830AD">
        <w:rPr>
          <w:rFonts w:ascii="Figtree" w:hAnsi="Figtree" w:cs="Tahoma"/>
        </w:rPr>
        <w:t>.</w:t>
      </w:r>
    </w:p>
    <w:p w:rsidR="001509ED" w:rsidP="001509ED" w:rsidRDefault="1DEE1B9F" w14:paraId="523F22AC" w14:textId="690F1E5A">
      <w:pPr>
        <w:numPr>
          <w:ilvl w:val="0"/>
          <w:numId w:val="31"/>
        </w:numPr>
        <w:spacing w:line="276" w:lineRule="auto"/>
        <w:rPr>
          <w:rFonts w:ascii="Figtree" w:hAnsi="Figtree" w:cs="Tahoma"/>
        </w:rPr>
      </w:pPr>
      <w:r w:rsidRPr="5E13A8B2">
        <w:rPr>
          <w:rFonts w:ascii="Figtree" w:hAnsi="Figtree" w:cs="Tahoma"/>
        </w:rPr>
        <w:t>Address</w:t>
      </w:r>
      <w:r w:rsidRPr="5E13A8B2" w:rsidR="40C7BAC3">
        <w:rPr>
          <w:rFonts w:ascii="Figtree" w:hAnsi="Figtree" w:cs="Tahoma"/>
        </w:rPr>
        <w:t xml:space="preserve"> JSA’s focus on “education and training barriers” by mandating anti-bias curricula that challenge </w:t>
      </w:r>
      <w:r w:rsidRPr="46B89621" w:rsidR="40C7BAC3">
        <w:rPr>
          <w:rFonts w:ascii="Figtree" w:hAnsi="Figtree" w:cs="Tahoma"/>
        </w:rPr>
        <w:t>ablei</w:t>
      </w:r>
      <w:r w:rsidRPr="46B89621" w:rsidR="7E49BC34">
        <w:rPr>
          <w:rFonts w:ascii="Figtree" w:hAnsi="Figtree" w:cs="Tahoma"/>
        </w:rPr>
        <w:t>s</w:t>
      </w:r>
      <w:r w:rsidRPr="46B89621" w:rsidR="2F18FDEA">
        <w:rPr>
          <w:rFonts w:ascii="Figtree" w:hAnsi="Figtree" w:cs="Tahoma"/>
        </w:rPr>
        <w:t>m</w:t>
      </w:r>
      <w:r w:rsidRPr="5E13A8B2" w:rsidR="2F18FDEA">
        <w:rPr>
          <w:rFonts w:ascii="Figtree" w:hAnsi="Figtree" w:cs="Tahoma"/>
        </w:rPr>
        <w:t xml:space="preserve"> and sexism. </w:t>
      </w:r>
      <w:r w:rsidRPr="5E13A8B2">
        <w:rPr>
          <w:rFonts w:ascii="Figtree" w:hAnsi="Figtree" w:cs="Tahoma"/>
        </w:rPr>
        <w:t xml:space="preserve"> </w:t>
      </w:r>
    </w:p>
    <w:p w:rsidRPr="001509ED" w:rsidR="006830AD" w:rsidP="006830AD" w:rsidRDefault="006830AD" w14:paraId="44FB9CF0" w14:textId="77777777">
      <w:pPr>
        <w:spacing w:line="276" w:lineRule="auto"/>
        <w:rPr>
          <w:rFonts w:ascii="Figtree" w:hAnsi="Figtree" w:cs="Tahoma"/>
        </w:rPr>
      </w:pPr>
    </w:p>
    <w:p w:rsidRPr="001509ED" w:rsidR="001509ED" w:rsidP="001509ED" w:rsidRDefault="001509ED" w14:paraId="5B21FB25" w14:textId="77777777">
      <w:pPr>
        <w:spacing w:line="276" w:lineRule="auto"/>
        <w:rPr>
          <w:rFonts w:ascii="Figtree" w:hAnsi="Figtree" w:cs="Tahoma"/>
          <w:b/>
          <w:bCs/>
        </w:rPr>
      </w:pPr>
      <w:r w:rsidRPr="001509ED">
        <w:rPr>
          <w:rFonts w:ascii="Figtree" w:hAnsi="Figtree" w:cs="Tahoma"/>
          <w:b/>
          <w:bCs/>
        </w:rPr>
        <w:t>3. Occupational Segregation: Gendered Industries and Exploitation</w:t>
      </w:r>
    </w:p>
    <w:p w:rsidRPr="001509ED" w:rsidR="001509ED" w:rsidP="001509ED" w:rsidRDefault="001509ED" w14:paraId="41ACB267" w14:textId="77777777">
      <w:pPr>
        <w:spacing w:line="276" w:lineRule="auto"/>
        <w:rPr>
          <w:rFonts w:ascii="Figtree" w:hAnsi="Figtree" w:cs="Tahoma"/>
          <w:b/>
          <w:bCs/>
        </w:rPr>
      </w:pPr>
      <w:r w:rsidRPr="001509ED">
        <w:rPr>
          <w:rFonts w:ascii="Figtree" w:hAnsi="Figtree" w:cs="Tahoma"/>
          <w:b/>
          <w:bCs/>
        </w:rPr>
        <w:t>3.1 Overrepresentation in Low-Paid, Feminised Sectors</w:t>
      </w:r>
    </w:p>
    <w:p w:rsidRPr="001509ED" w:rsidR="001509ED" w:rsidP="36C6FA5B" w:rsidRDefault="40C7BAC3" w14:paraId="1944EBD7" w14:textId="47217A1C">
      <w:pPr>
        <w:spacing w:line="276" w:lineRule="auto"/>
        <w:rPr>
          <w:rFonts w:ascii="Figtree" w:hAnsi="Figtree" w:cs="Tahoma"/>
        </w:rPr>
      </w:pPr>
      <w:r w:rsidRPr="36C6FA5B">
        <w:rPr>
          <w:rFonts w:ascii="Figtree" w:hAnsi="Figtree" w:cs="Tahoma"/>
        </w:rPr>
        <w:t>Women with disability are concentrated in industries with high rates of casuali</w:t>
      </w:r>
      <w:r w:rsidRPr="36C6FA5B" w:rsidR="1DEE1B9F">
        <w:rPr>
          <w:rFonts w:ascii="Figtree" w:hAnsi="Figtree" w:cs="Tahoma"/>
        </w:rPr>
        <w:t>s</w:t>
      </w:r>
      <w:r w:rsidRPr="36C6FA5B">
        <w:rPr>
          <w:rFonts w:ascii="Figtree" w:hAnsi="Figtree" w:cs="Tahoma"/>
        </w:rPr>
        <w:t>ation, such as aged care (72% female workforce) and cleaning</w:t>
      </w:r>
      <w:r w:rsidR="009C5126">
        <w:rPr>
          <w:rStyle w:val="EndnoteReference"/>
          <w:rFonts w:ascii="Figtree" w:hAnsi="Figtree" w:cs="Tahoma"/>
        </w:rPr>
        <w:endnoteReference w:id="18"/>
      </w:r>
      <w:r w:rsidR="29AA3F0A">
        <w:rPr>
          <w:rFonts w:ascii="Figtree" w:hAnsi="Figtree" w:cs="Tahoma"/>
        </w:rPr>
        <w:t xml:space="preserve">. </w:t>
      </w:r>
      <w:r w:rsidRPr="36C6FA5B" w:rsidR="1DEE1B9F">
        <w:rPr>
          <w:rFonts w:ascii="Figtree" w:hAnsi="Figtree" w:cs="Tahoma"/>
        </w:rPr>
        <w:t xml:space="preserve">The </w:t>
      </w:r>
      <w:r w:rsidRPr="5E13A8B2" w:rsidR="1DEE1B9F">
        <w:rPr>
          <w:rFonts w:ascii="Figtree" w:hAnsi="Figtree" w:cs="Tahoma"/>
          <w:i/>
          <w:iCs/>
        </w:rPr>
        <w:t>Supported Wage System</w:t>
      </w:r>
      <w:r w:rsidRPr="36C6FA5B" w:rsidR="1DEE1B9F">
        <w:rPr>
          <w:rFonts w:ascii="Figtree" w:hAnsi="Figtree" w:cs="Tahoma"/>
        </w:rPr>
        <w:t xml:space="preserve"> (SWS)</w:t>
      </w:r>
      <w:r w:rsidRPr="36C6FA5B" w:rsidR="006830AD">
        <w:rPr>
          <w:rFonts w:ascii="Figtree" w:hAnsi="Figtree" w:cs="Tahoma"/>
          <w:vertAlign w:val="superscript"/>
        </w:rPr>
        <w:endnoteReference w:id="19"/>
      </w:r>
      <w:r w:rsidRPr="36C6FA5B" w:rsidR="1DEE1B9F">
        <w:rPr>
          <w:rFonts w:ascii="Figtree" w:hAnsi="Figtree" w:cs="Tahoma"/>
        </w:rPr>
        <w:t xml:space="preserve"> still provides for people with disability to be paid a pro-rata percentage of the minimum wage for their industry according to their assessed capacity. </w:t>
      </w:r>
      <w:r w:rsidR="20200C2F">
        <w:rPr>
          <w:rFonts w:ascii="Figtree" w:hAnsi="Figtree" w:cs="Tahoma"/>
        </w:rPr>
        <w:t>WWDA h</w:t>
      </w:r>
      <w:r w:rsidR="2DEB1626">
        <w:rPr>
          <w:rFonts w:ascii="Figtree" w:hAnsi="Figtree" w:cs="Tahoma"/>
        </w:rPr>
        <w:t>as</w:t>
      </w:r>
      <w:r w:rsidR="31DD118B">
        <w:rPr>
          <w:rFonts w:ascii="Figtree" w:hAnsi="Figtree" w:cs="Tahoma"/>
        </w:rPr>
        <w:t xml:space="preserve"> </w:t>
      </w:r>
      <w:r w:rsidR="20200C2F">
        <w:rPr>
          <w:rFonts w:ascii="Figtree" w:hAnsi="Figtree" w:cs="Tahoma"/>
        </w:rPr>
        <w:t>previously noted that in</w:t>
      </w:r>
      <w:r w:rsidRPr="36C6FA5B" w:rsidR="1DEE1B9F">
        <w:rPr>
          <w:rFonts w:ascii="Figtree" w:hAnsi="Figtree" w:cs="Tahoma"/>
        </w:rPr>
        <w:t xml:space="preserve"> mainstream employment settings </w:t>
      </w:r>
      <w:r w:rsidRPr="36C6FA5B">
        <w:rPr>
          <w:rFonts w:ascii="Figtree" w:hAnsi="Figtree" w:cs="Tahoma"/>
        </w:rPr>
        <w:t>women</w:t>
      </w:r>
      <w:r w:rsidRPr="36C6FA5B" w:rsidR="1DEE1B9F">
        <w:rPr>
          <w:rFonts w:ascii="Figtree" w:hAnsi="Figtree" w:cs="Tahoma"/>
        </w:rPr>
        <w:t xml:space="preserve"> with disabilities</w:t>
      </w:r>
      <w:r w:rsidR="20200C2F">
        <w:rPr>
          <w:rFonts w:ascii="Figtree" w:hAnsi="Figtree" w:cs="Tahoma"/>
        </w:rPr>
        <w:t xml:space="preserve"> </w:t>
      </w:r>
      <w:r w:rsidRPr="36C6FA5B" w:rsidR="1DEE1B9F">
        <w:rPr>
          <w:rFonts w:ascii="Figtree" w:hAnsi="Figtree" w:cs="Tahoma"/>
        </w:rPr>
        <w:t xml:space="preserve">are less likely to be employed than </w:t>
      </w:r>
      <w:proofErr w:type="gramStart"/>
      <w:r w:rsidRPr="36C6FA5B" w:rsidR="1DEE1B9F">
        <w:rPr>
          <w:rFonts w:ascii="Figtree" w:hAnsi="Figtree" w:cs="Tahoma"/>
        </w:rPr>
        <w:t>men, a</w:t>
      </w:r>
      <w:r w:rsidRPr="36C6FA5B" w:rsidR="2A689BBD">
        <w:rPr>
          <w:rFonts w:ascii="Figtree" w:hAnsi="Figtree" w:cs="Tahoma"/>
        </w:rPr>
        <w:t>nd</w:t>
      </w:r>
      <w:proofErr w:type="gramEnd"/>
      <w:r w:rsidRPr="36C6FA5B" w:rsidR="2A689BBD">
        <w:rPr>
          <w:rFonts w:ascii="Figtree" w:hAnsi="Figtree" w:cs="Tahoma"/>
        </w:rPr>
        <w:t xml:space="preserve"> are more likely to be precariously employed or under-employed</w:t>
      </w:r>
      <w:r w:rsidR="00247FB4">
        <w:rPr>
          <w:rStyle w:val="EndnoteReference"/>
          <w:rFonts w:ascii="Figtree" w:hAnsi="Figtree" w:cs="Tahoma"/>
        </w:rPr>
        <w:endnoteReference w:id="20"/>
      </w:r>
      <w:r w:rsidR="01E93D1A">
        <w:rPr>
          <w:rFonts w:ascii="Figtree" w:hAnsi="Figtree" w:cs="Tahoma"/>
        </w:rPr>
        <w:t>.</w:t>
      </w:r>
    </w:p>
    <w:p w:rsidR="0041458B" w:rsidP="001509ED" w:rsidRDefault="0041458B" w14:paraId="5B487F1A" w14:textId="77777777">
      <w:pPr>
        <w:spacing w:line="276" w:lineRule="auto"/>
        <w:rPr>
          <w:rFonts w:ascii="Figtree" w:hAnsi="Figtree" w:cs="Tahoma"/>
        </w:rPr>
      </w:pPr>
    </w:p>
    <w:p w:rsidR="00611932" w:rsidP="00611932" w:rsidRDefault="31ACE29B" w14:paraId="7628ADA6" w14:textId="6792F84E">
      <w:pPr>
        <w:spacing w:line="276" w:lineRule="auto"/>
        <w:rPr>
          <w:rFonts w:ascii="Figtree" w:hAnsi="Figtree" w:cs="Tahoma"/>
        </w:rPr>
      </w:pPr>
      <w:r w:rsidRPr="5E13A8B2">
        <w:rPr>
          <w:rFonts w:ascii="Figtree" w:hAnsi="Figtree" w:cs="Tahoma"/>
        </w:rPr>
        <w:t>Data from the National Disability Insurance Scheme (NDIS) further underscores the systemic barriers faced by people with disability in accessing equitable employment opportunities, particularly within mainstream settings. According to the NDIS Review Supporting Analysis, only </w:t>
      </w:r>
      <w:r w:rsidRPr="00962209">
        <w:rPr>
          <w:rFonts w:ascii="Figtree" w:hAnsi="Figtree" w:cs="Tahoma"/>
        </w:rPr>
        <w:t>29% of NDIS participants aged over 25 are in paid employment</w:t>
      </w:r>
      <w:r w:rsidRPr="5E13A8B2">
        <w:rPr>
          <w:rFonts w:ascii="Figtree" w:hAnsi="Figtree" w:cs="Tahoma"/>
        </w:rPr>
        <w:t>, and of these, </w:t>
      </w:r>
      <w:r w:rsidRPr="00962209">
        <w:rPr>
          <w:rFonts w:ascii="Figtree" w:hAnsi="Figtree" w:cs="Tahoma"/>
        </w:rPr>
        <w:t>more than 77% work in Australian Disability Enterprises (ADEs)</w:t>
      </w:r>
      <w:r w:rsidR="00611932">
        <w:rPr>
          <w:rStyle w:val="EndnoteReference"/>
          <w:rFonts w:ascii="Figtree" w:hAnsi="Figtree" w:cs="Tahoma"/>
        </w:rPr>
        <w:endnoteReference w:id="21"/>
      </w:r>
      <w:r w:rsidRPr="5E13A8B2">
        <w:rPr>
          <w:rFonts w:ascii="Figtree" w:hAnsi="Figtree" w:cs="Tahoma"/>
        </w:rPr>
        <w:t>. As we have stated previously, ADE’s typically pay well below award wages. This reliance on segregated employment settings reflects broader structural inequities that limit access to inclusive and meaningful work opportunities.</w:t>
      </w:r>
      <w:r w:rsidRPr="5E13A8B2" w:rsidR="1D887EAF">
        <w:rPr>
          <w:rFonts w:ascii="Figtree" w:hAnsi="Figtree" w:cs="Tahoma"/>
        </w:rPr>
        <w:t xml:space="preserve"> </w:t>
      </w:r>
      <w:r w:rsidRPr="5E13A8B2" w:rsidR="29EB3E52">
        <w:rPr>
          <w:rFonts w:ascii="Figtree" w:hAnsi="Figtree" w:cs="Tahoma"/>
        </w:rPr>
        <w:t>The United Nations Special Rapporteur on contemporary forms of slavery has express</w:t>
      </w:r>
      <w:r w:rsidRPr="5E13A8B2" w:rsidR="3E797F30">
        <w:rPr>
          <w:rFonts w:ascii="Figtree" w:hAnsi="Figtree" w:cs="Tahoma"/>
        </w:rPr>
        <w:t>ed concern about ADE’s in Australia and recommended that they be abolished</w:t>
      </w:r>
      <w:r w:rsidR="00962209">
        <w:rPr>
          <w:rStyle w:val="EndnoteReference"/>
          <w:rFonts w:ascii="Figtree" w:hAnsi="Figtree" w:cs="Tahoma"/>
        </w:rPr>
        <w:endnoteReference w:id="22"/>
      </w:r>
      <w:r w:rsidRPr="5E13A8B2" w:rsidR="3E797F30">
        <w:rPr>
          <w:rFonts w:ascii="Figtree" w:hAnsi="Figtree" w:cs="Tahoma"/>
        </w:rPr>
        <w:t xml:space="preserve">. </w:t>
      </w:r>
    </w:p>
    <w:p w:rsidRPr="00611932" w:rsidR="00611932" w:rsidP="00611932" w:rsidRDefault="00611932" w14:paraId="7BE25B8B" w14:textId="77777777">
      <w:pPr>
        <w:spacing w:line="276" w:lineRule="auto"/>
        <w:rPr>
          <w:rFonts w:ascii="Figtree" w:hAnsi="Figtree" w:cs="Tahoma"/>
        </w:rPr>
      </w:pPr>
    </w:p>
    <w:p w:rsidRPr="00611932" w:rsidR="00611932" w:rsidP="00611932" w:rsidRDefault="31ACE29B" w14:paraId="119A9EFC" w14:textId="3BED817A">
      <w:pPr>
        <w:spacing w:line="276" w:lineRule="auto"/>
        <w:rPr>
          <w:rFonts w:ascii="Figtree" w:hAnsi="Figtree" w:cs="Tahoma"/>
        </w:rPr>
      </w:pPr>
      <w:r w:rsidRPr="5E13A8B2">
        <w:rPr>
          <w:rFonts w:ascii="Figtree" w:hAnsi="Figtree" w:cs="Tahoma"/>
        </w:rPr>
        <w:t xml:space="preserve">While gender-disaggregated data is scarce within the NDIS reporting, broader labour market trends suggest that women with disability are disproportionately affected by these inequities due to intersecting barriers of ableism and sexism. Women with disability are more likely to be funnelled into low-paid </w:t>
      </w:r>
      <w:r w:rsidRPr="5E13A8B2" w:rsidR="2C31A477">
        <w:rPr>
          <w:rFonts w:ascii="Figtree" w:hAnsi="Figtree" w:cs="Tahoma"/>
        </w:rPr>
        <w:t xml:space="preserve">and undervalued </w:t>
      </w:r>
      <w:r w:rsidRPr="5E13A8B2">
        <w:rPr>
          <w:rFonts w:ascii="Figtree" w:hAnsi="Figtree" w:cs="Tahoma"/>
        </w:rPr>
        <w:t xml:space="preserve">care and support roles, perpetuating cycles of economic disadvantage. The NDIS Review also highlights </w:t>
      </w:r>
      <w:r w:rsidRPr="5E13A8B2" w:rsidR="638D3C25">
        <w:rPr>
          <w:rFonts w:ascii="Figtree" w:hAnsi="Figtree" w:cs="Tahoma"/>
        </w:rPr>
        <w:t>only</w:t>
      </w:r>
      <w:r w:rsidRPr="5E13A8B2">
        <w:rPr>
          <w:rFonts w:ascii="Figtree" w:hAnsi="Figtree" w:cs="Tahoma"/>
        </w:rPr>
        <w:t> </w:t>
      </w:r>
      <w:r w:rsidRPr="005F24C6">
        <w:rPr>
          <w:rFonts w:ascii="Figtree" w:hAnsi="Figtree" w:cs="Tahoma"/>
        </w:rPr>
        <w:t xml:space="preserve">41% of people with disability aged 15–64 </w:t>
      </w:r>
      <w:r w:rsidRPr="5E13A8B2" w:rsidR="638D3C25">
        <w:rPr>
          <w:rFonts w:ascii="Figtree" w:hAnsi="Figtree" w:cs="Tahoma"/>
        </w:rPr>
        <w:t>have income from wages or salary</w:t>
      </w:r>
      <w:r w:rsidRPr="5E13A8B2">
        <w:rPr>
          <w:rFonts w:ascii="Figtree" w:hAnsi="Figtree" w:cs="Tahoma"/>
        </w:rPr>
        <w:t xml:space="preserve">, compared to </w:t>
      </w:r>
      <w:r w:rsidRPr="5E13A8B2" w:rsidR="638D3C25">
        <w:rPr>
          <w:rFonts w:ascii="Figtree" w:hAnsi="Figtree" w:cs="Tahoma"/>
        </w:rPr>
        <w:t>73</w:t>
      </w:r>
      <w:r w:rsidRPr="5E13A8B2">
        <w:rPr>
          <w:rFonts w:ascii="Figtree" w:hAnsi="Figtree" w:cs="Tahoma"/>
        </w:rPr>
        <w:t xml:space="preserve">% of </w:t>
      </w:r>
      <w:r w:rsidRPr="5E13A8B2">
        <w:rPr>
          <w:rFonts w:ascii="Figtree" w:hAnsi="Figtree" w:cs="Tahoma"/>
        </w:rPr>
        <w:lastRenderedPageBreak/>
        <w:t>people without disability</w:t>
      </w:r>
      <w:r w:rsidR="0035732A">
        <w:rPr>
          <w:rStyle w:val="EndnoteReference"/>
          <w:rFonts w:ascii="Figtree" w:hAnsi="Figtree" w:cs="Tahoma"/>
        </w:rPr>
        <w:endnoteReference w:id="23"/>
      </w:r>
      <w:r w:rsidRPr="5E13A8B2" w:rsidR="638D3C25">
        <w:rPr>
          <w:rFonts w:ascii="Figtree" w:hAnsi="Figtree" w:cs="Tahoma"/>
        </w:rPr>
        <w:t>.</w:t>
      </w:r>
      <w:r w:rsidRPr="5E13A8B2">
        <w:rPr>
          <w:rFonts w:ascii="Figtree" w:hAnsi="Figtree" w:cs="Tahoma"/>
        </w:rPr>
        <w:t xml:space="preserve"> This income disparity underscores the urgent need for systemic reforms to improve employment outcomes for people with disability, particularly women.</w:t>
      </w:r>
    </w:p>
    <w:p w:rsidR="00611932" w:rsidP="001509ED" w:rsidRDefault="00611932" w14:paraId="4AF8F0DE" w14:textId="77777777">
      <w:pPr>
        <w:spacing w:line="276" w:lineRule="auto"/>
        <w:rPr>
          <w:rFonts w:ascii="Figtree" w:hAnsi="Figtree" w:cs="Tahoma"/>
        </w:rPr>
      </w:pPr>
    </w:p>
    <w:p w:rsidR="00611932" w:rsidP="001509ED" w:rsidRDefault="00611932" w14:paraId="67651001" w14:textId="77777777">
      <w:pPr>
        <w:spacing w:line="276" w:lineRule="auto"/>
        <w:rPr>
          <w:rFonts w:ascii="Figtree" w:hAnsi="Figtree" w:cs="Tahoma"/>
        </w:rPr>
      </w:pPr>
    </w:p>
    <w:p w:rsidRPr="005F24C6" w:rsidR="005C79FA" w:rsidP="005C79FA" w:rsidRDefault="00A808E5" w14:paraId="19364FDD" w14:textId="285EA958">
      <w:pPr>
        <w:spacing w:line="276" w:lineRule="auto"/>
        <w:rPr>
          <w:rFonts w:ascii="Figtree" w:hAnsi="Figtree" w:cs="Tahoma"/>
          <w:b/>
          <w:bCs/>
        </w:rPr>
      </w:pPr>
      <w:r>
        <w:rPr>
          <w:rFonts w:ascii="Figtree" w:hAnsi="Figtree" w:cs="Tahoma"/>
          <w:b/>
          <w:bCs/>
        </w:rPr>
        <w:t xml:space="preserve">3.2 </w:t>
      </w:r>
      <w:r w:rsidRPr="005F24C6" w:rsidR="005C79FA">
        <w:rPr>
          <w:rFonts w:ascii="Figtree" w:hAnsi="Figtree" w:cs="Tahoma"/>
          <w:b/>
          <w:bCs/>
        </w:rPr>
        <w:t>Vocational Education</w:t>
      </w:r>
    </w:p>
    <w:p w:rsidR="005C79FA" w:rsidRDefault="4E5319F3" w14:paraId="1540A15B" w14:textId="08BCF394">
      <w:pPr>
        <w:spacing w:line="276" w:lineRule="auto"/>
        <w:rPr>
          <w:rFonts w:ascii="Figtree" w:hAnsi="Figtree" w:cs="Tahoma"/>
        </w:rPr>
      </w:pPr>
      <w:r w:rsidRPr="5E13A8B2">
        <w:rPr>
          <w:rFonts w:ascii="Figtree" w:hAnsi="Figtree" w:cs="Tahoma"/>
        </w:rPr>
        <w:t xml:space="preserve">Vocational education data further highlights systemic inequities in education pathways for people with disability, particularly women. As noted in WWDA's submission to the Draft National Care and Support Economy Strategy, vocational education enrolments reveal </w:t>
      </w:r>
      <w:r w:rsidRPr="5E13A8B2" w:rsidR="0A3E9287">
        <w:rPr>
          <w:rFonts w:ascii="Figtree" w:hAnsi="Figtree" w:cs="Tahoma"/>
        </w:rPr>
        <w:t xml:space="preserve">significant </w:t>
      </w:r>
      <w:r w:rsidRPr="5E13A8B2" w:rsidR="6097D200">
        <w:rPr>
          <w:rFonts w:ascii="Figtree" w:hAnsi="Figtree" w:cs="Tahoma"/>
        </w:rPr>
        <w:t>representation of students with disability in community services sector courses</w:t>
      </w:r>
      <w:r w:rsidRPr="5E13A8B2" w:rsidR="70D976B5">
        <w:rPr>
          <w:rFonts w:ascii="Figtree" w:hAnsi="Figtree" w:cs="Tahoma"/>
        </w:rPr>
        <w:t xml:space="preserve"> (compared to their non-disabled counterparts)</w:t>
      </w:r>
      <w:r w:rsidRPr="5E13A8B2" w:rsidR="6097D200">
        <w:rPr>
          <w:rFonts w:ascii="Figtree" w:hAnsi="Figtree" w:cs="Tahoma"/>
        </w:rPr>
        <w:t>, with the majority being women with disability</w:t>
      </w:r>
      <w:r w:rsidR="00B572A2">
        <w:rPr>
          <w:rStyle w:val="EndnoteReference"/>
          <w:rFonts w:ascii="Figtree" w:hAnsi="Figtree" w:cs="Tahoma"/>
        </w:rPr>
        <w:endnoteReference w:id="24"/>
      </w:r>
      <w:r w:rsidRPr="5E13A8B2">
        <w:rPr>
          <w:rFonts w:ascii="Figtree" w:hAnsi="Figtree" w:cs="Tahoma"/>
        </w:rPr>
        <w:t>.</w:t>
      </w:r>
    </w:p>
    <w:p w:rsidRPr="005C79FA" w:rsidR="00A808E5" w:rsidP="005C79FA" w:rsidRDefault="00A808E5" w14:paraId="2432EE38" w14:textId="77777777">
      <w:pPr>
        <w:spacing w:line="276" w:lineRule="auto"/>
        <w:rPr>
          <w:rFonts w:ascii="Figtree" w:hAnsi="Figtree" w:cs="Tahoma"/>
        </w:rPr>
      </w:pPr>
    </w:p>
    <w:p w:rsidRPr="005C79FA" w:rsidR="005C79FA" w:rsidP="005C79FA" w:rsidRDefault="4E5319F3" w14:paraId="6B7AD315" w14:textId="4821D45C">
      <w:pPr>
        <w:spacing w:line="276" w:lineRule="auto"/>
        <w:rPr>
          <w:rFonts w:ascii="Figtree" w:hAnsi="Figtree" w:cs="Tahoma"/>
        </w:rPr>
      </w:pPr>
      <w:r w:rsidRPr="5E13A8B2">
        <w:rPr>
          <w:rFonts w:ascii="Figtree" w:hAnsi="Figtree" w:cs="Tahoma"/>
        </w:rPr>
        <w:t>This overrepresentation reflects systemic barriers that limit access to diverse career pathways for women with disability, perpetuating occupational segregation into undervalued and low-paid industries. The gendered nature of these enrolments underscores the need for targeted reforms to expand vocational education opportunities beyond traditionally feminised sectors.</w:t>
      </w:r>
      <w:r w:rsidRPr="5E13A8B2" w:rsidR="44AA1BF8">
        <w:rPr>
          <w:rFonts w:ascii="Figtree" w:hAnsi="Figtree" w:cs="Tahoma"/>
        </w:rPr>
        <w:t xml:space="preserve"> It also highlights the need to recognise women with disability as </w:t>
      </w:r>
      <w:r w:rsidRPr="5E13A8B2" w:rsidR="5B3F0981">
        <w:rPr>
          <w:rFonts w:ascii="Figtree" w:hAnsi="Figtree" w:cs="Tahoma"/>
        </w:rPr>
        <w:t xml:space="preserve">providers of care </w:t>
      </w:r>
      <w:r w:rsidRPr="5E13A8B2" w:rsidR="4B749810">
        <w:rPr>
          <w:rFonts w:ascii="Figtree" w:hAnsi="Figtree" w:cs="Tahoma"/>
        </w:rPr>
        <w:t xml:space="preserve">(both paid and unpaid) in care economy </w:t>
      </w:r>
      <w:r w:rsidRPr="5E13A8B2" w:rsidR="1B7442D0">
        <w:rPr>
          <w:rFonts w:ascii="Figtree" w:hAnsi="Figtree" w:cs="Tahoma"/>
        </w:rPr>
        <w:t xml:space="preserve">reforms, rather than solely as recipients. </w:t>
      </w:r>
    </w:p>
    <w:p w:rsidR="005C79FA" w:rsidP="001509ED" w:rsidRDefault="005C79FA" w14:paraId="3D522DCC" w14:textId="77777777">
      <w:pPr>
        <w:spacing w:line="276" w:lineRule="auto"/>
        <w:rPr>
          <w:rFonts w:ascii="Figtree" w:hAnsi="Figtree" w:cs="Tahoma"/>
        </w:rPr>
      </w:pPr>
    </w:p>
    <w:p w:rsidRPr="001509ED" w:rsidR="001509ED" w:rsidP="001509ED" w:rsidRDefault="001509ED" w14:paraId="288B2C0D" w14:textId="0787D0E3">
      <w:pPr>
        <w:spacing w:line="276" w:lineRule="auto"/>
        <w:rPr>
          <w:rFonts w:ascii="Figtree" w:hAnsi="Figtree" w:cs="Tahoma"/>
          <w:b/>
          <w:bCs/>
        </w:rPr>
      </w:pPr>
      <w:r w:rsidRPr="001509ED">
        <w:rPr>
          <w:rFonts w:ascii="Figtree" w:hAnsi="Figtree" w:cs="Tahoma"/>
          <w:b/>
          <w:bCs/>
        </w:rPr>
        <w:t>3.</w:t>
      </w:r>
      <w:r w:rsidR="005C79FA">
        <w:rPr>
          <w:rFonts w:ascii="Figtree" w:hAnsi="Figtree" w:cs="Tahoma"/>
          <w:b/>
          <w:bCs/>
        </w:rPr>
        <w:t>3</w:t>
      </w:r>
      <w:r w:rsidRPr="001509ED" w:rsidR="005C79FA">
        <w:rPr>
          <w:rFonts w:ascii="Figtree" w:hAnsi="Figtree" w:cs="Tahoma"/>
          <w:b/>
          <w:bCs/>
        </w:rPr>
        <w:t> </w:t>
      </w:r>
      <w:r w:rsidRPr="001509ED">
        <w:rPr>
          <w:rFonts w:ascii="Figtree" w:hAnsi="Figtree" w:cs="Tahoma"/>
          <w:b/>
          <w:bCs/>
        </w:rPr>
        <w:t>Intersectional Data Gaps</w:t>
      </w:r>
    </w:p>
    <w:p w:rsidR="001509ED" w:rsidP="36C6FA5B" w:rsidRDefault="40C7BAC3" w14:paraId="7E25C15D" w14:textId="6A90AA8D">
      <w:pPr>
        <w:spacing w:line="276" w:lineRule="auto"/>
        <w:rPr>
          <w:rFonts w:ascii="Figtree" w:hAnsi="Figtree" w:cs="Tahoma"/>
        </w:rPr>
      </w:pPr>
      <w:r w:rsidRPr="0A54188E">
        <w:rPr>
          <w:rFonts w:ascii="Figtree" w:hAnsi="Figtree" w:cs="Tahoma"/>
        </w:rPr>
        <w:t>Australia lacks disaggregated data on workforce participation by gender and disability, masking disparities.  </w:t>
      </w:r>
      <w:r w:rsidRPr="5E13A8B2">
        <w:rPr>
          <w:rFonts w:ascii="Figtree" w:hAnsi="Figtree" w:cs="Tahoma"/>
          <w:i/>
          <w:iCs/>
        </w:rPr>
        <w:t>Australia</w:t>
      </w:r>
      <w:r w:rsidRPr="5E13A8B2" w:rsidR="6EC27261">
        <w:rPr>
          <w:rFonts w:ascii="Figtree" w:hAnsi="Figtree" w:cs="Tahoma"/>
          <w:i/>
          <w:iCs/>
        </w:rPr>
        <w:t>’s</w:t>
      </w:r>
      <w:r w:rsidRPr="5E13A8B2">
        <w:rPr>
          <w:rFonts w:ascii="Figtree" w:hAnsi="Figtree" w:cs="Tahoma"/>
          <w:i/>
          <w:iCs/>
        </w:rPr>
        <w:t xml:space="preserve"> Disability Strategy</w:t>
      </w:r>
      <w:r w:rsidRPr="0A54188E">
        <w:rPr>
          <w:rFonts w:ascii="Figtree" w:hAnsi="Figtree" w:cs="Tahoma"/>
        </w:rPr>
        <w:t> (2021–2031)</w:t>
      </w:r>
      <w:r w:rsidR="005F7530">
        <w:rPr>
          <w:rStyle w:val="EndnoteReference"/>
          <w:rFonts w:ascii="Figtree" w:hAnsi="Figtree" w:cs="Tahoma"/>
        </w:rPr>
        <w:endnoteReference w:id="25"/>
      </w:r>
      <w:r w:rsidRPr="0A54188E" w:rsidR="01E93D1A">
        <w:rPr>
          <w:rFonts w:ascii="Figtree" w:hAnsi="Figtree" w:cs="Tahoma"/>
        </w:rPr>
        <w:t xml:space="preserve"> </w:t>
      </w:r>
      <w:r w:rsidRPr="0A54188E">
        <w:rPr>
          <w:rFonts w:ascii="Figtree" w:hAnsi="Figtree" w:cs="Tahoma"/>
        </w:rPr>
        <w:t>fails to set gender-specific employment targets, while WGEA does not report disability pay gaps.</w:t>
      </w:r>
      <w:r w:rsidRPr="0A54188E" w:rsidR="6B04F6D9">
        <w:rPr>
          <w:rFonts w:ascii="Figtree" w:hAnsi="Figtree" w:cs="Tahoma"/>
        </w:rPr>
        <w:t xml:space="preserve"> The data captured by WGEA reporting currently does not sufficiently address intersectional pay gaps as it is unable to be disaggregated by gender, disability, and First Nations status.</w:t>
      </w:r>
      <w:r w:rsidRPr="0A54188E" w:rsidR="5C409724">
        <w:rPr>
          <w:rFonts w:ascii="Figtree" w:hAnsi="Figtree" w:cs="Tahoma"/>
        </w:rPr>
        <w:t xml:space="preserve"> Likewise, there are few longitudinal studies examining the economic impacts of gendered disability discrimination.</w:t>
      </w:r>
    </w:p>
    <w:p w:rsidR="00312B06" w:rsidP="36C6FA5B" w:rsidRDefault="00312B06" w14:paraId="42A162A3" w14:textId="77777777">
      <w:pPr>
        <w:spacing w:line="276" w:lineRule="auto"/>
        <w:rPr>
          <w:rFonts w:ascii="Figtree" w:hAnsi="Figtree" w:cs="Tahoma"/>
        </w:rPr>
      </w:pPr>
    </w:p>
    <w:p w:rsidRPr="00312B06" w:rsidR="00312B06" w:rsidP="005F24C6" w:rsidRDefault="798AD498" w14:paraId="75151507" w14:textId="77217982">
      <w:pPr>
        <w:spacing w:line="276" w:lineRule="auto"/>
        <w:rPr>
          <w:rFonts w:ascii="Figtree" w:hAnsi="Figtree" w:cs="Tahoma"/>
        </w:rPr>
      </w:pPr>
      <w:r w:rsidRPr="5E13A8B2">
        <w:rPr>
          <w:rFonts w:ascii="Figtree" w:hAnsi="Figtree" w:cs="Tahoma"/>
        </w:rPr>
        <w:t xml:space="preserve">The 2019 CRPD Committee Concluding Observations for Australia criticised the lack of “lack of nationally consistent measures for the collection and public reporting of disaggregated data on the full range of obligations contained in the Convention.” </w:t>
      </w:r>
      <w:r w:rsidR="00B142C0">
        <w:rPr>
          <w:rStyle w:val="EndnoteReference"/>
          <w:rFonts w:ascii="Figtree" w:hAnsi="Figtree" w:cs="Tahoma"/>
        </w:rPr>
        <w:endnoteReference w:id="26"/>
      </w:r>
      <w:r w:rsidRPr="5E13A8B2">
        <w:rPr>
          <w:rFonts w:ascii="Figtree" w:hAnsi="Figtree" w:cs="Tahoma"/>
        </w:rPr>
        <w:t>The Committee urged alignment with Articles 6 and 31 by prioritising intersectional data collection “especially with regard to women, children and Aboriginal and Torres Strait Islander persons with disabilities”</w:t>
      </w:r>
      <w:r w:rsidR="00B142C0">
        <w:rPr>
          <w:rStyle w:val="EndnoteReference"/>
          <w:rFonts w:ascii="Figtree" w:hAnsi="Figtree" w:cs="Tahoma"/>
        </w:rPr>
        <w:endnoteReference w:id="27"/>
      </w:r>
      <w:r w:rsidRPr="5E13A8B2">
        <w:rPr>
          <w:rFonts w:ascii="Figtree" w:hAnsi="Figtree" w:cs="Tahoma"/>
        </w:rPr>
        <w:t xml:space="preserve">.  </w:t>
      </w:r>
      <w:r w:rsidRPr="5E13A8B2" w:rsidR="53537E08">
        <w:rPr>
          <w:rFonts w:ascii="Figtree" w:hAnsi="Figtree" w:cs="Tahoma"/>
        </w:rPr>
        <w:t xml:space="preserve">Australia’s systemic failure to collect intersectional data on workforce </w:t>
      </w:r>
      <w:r w:rsidRPr="5E13A8B2" w:rsidR="53537E08">
        <w:rPr>
          <w:rFonts w:ascii="Figtree" w:hAnsi="Figtree" w:cs="Tahoma"/>
        </w:rPr>
        <w:lastRenderedPageBreak/>
        <w:t>participation by gender and disability obscures critical disparities and contravenes obligations under the </w:t>
      </w:r>
      <w:r w:rsidRPr="005F24C6" w:rsidR="53537E08">
        <w:rPr>
          <w:rFonts w:ascii="Figtree" w:hAnsi="Figtree" w:cs="Tahoma"/>
        </w:rPr>
        <w:t>Convention on the Rights of Persons with Disabilities (CRPD)</w:t>
      </w:r>
      <w:r w:rsidR="00312B06">
        <w:rPr>
          <w:rStyle w:val="EndnoteReference"/>
          <w:rFonts w:ascii="Figtree" w:hAnsi="Figtree" w:cs="Tahoma"/>
        </w:rPr>
        <w:endnoteReference w:id="28"/>
      </w:r>
      <w:r w:rsidRPr="5E13A8B2" w:rsidR="53537E08">
        <w:rPr>
          <w:rFonts w:ascii="Figtree" w:hAnsi="Figtree" w:cs="Tahoma"/>
        </w:rPr>
        <w:t xml:space="preserve">. While Article 31 of the CRPD explicitly mandates the collection of disaggregated data to assess implementation of rights, the absence of gender-specific employment targets in </w:t>
      </w:r>
      <w:r w:rsidRPr="5E13A8B2" w:rsidR="1E3E10CF">
        <w:rPr>
          <w:rFonts w:ascii="Figtree" w:hAnsi="Figtree" w:cs="Tahoma"/>
        </w:rPr>
        <w:t xml:space="preserve">Australia’s </w:t>
      </w:r>
      <w:r w:rsidRPr="005F24C6" w:rsidR="53537E08">
        <w:rPr>
          <w:rFonts w:ascii="Figtree" w:hAnsi="Figtree" w:cs="Tahoma"/>
        </w:rPr>
        <w:t>Disability Strategy (2021–2031)</w:t>
      </w:r>
      <w:r w:rsidRPr="5E13A8B2" w:rsidR="53537E08">
        <w:rPr>
          <w:rFonts w:ascii="Figtree" w:hAnsi="Figtree" w:cs="Tahoma"/>
        </w:rPr>
        <w:t> and the exclusion of disability pay gaps in Workplace Gender Equality Agency (WGEA) reporting demonstrate persistent non-compliance with Article 6 (women with disabilities) as a cross-cutting obligation.</w:t>
      </w:r>
      <w:r w:rsidRPr="5E13A8B2" w:rsidR="255C2F0E">
        <w:rPr>
          <w:rFonts w:ascii="Figtree" w:hAnsi="Figtree" w:cs="Tahoma"/>
        </w:rPr>
        <w:t xml:space="preserve"> </w:t>
      </w:r>
    </w:p>
    <w:p w:rsidR="00312B06" w:rsidP="36C6FA5B" w:rsidRDefault="00312B06" w14:paraId="3097F79D" w14:textId="77777777">
      <w:pPr>
        <w:spacing w:line="276" w:lineRule="auto"/>
        <w:rPr>
          <w:rFonts w:ascii="Figtree" w:hAnsi="Figtree" w:cs="Tahoma"/>
        </w:rPr>
      </w:pPr>
    </w:p>
    <w:p w:rsidR="00100DB5" w:rsidP="00100DB5" w:rsidRDefault="00100DB5" w14:paraId="0498086F" w14:textId="77777777">
      <w:pPr>
        <w:spacing w:line="276" w:lineRule="auto"/>
        <w:rPr>
          <w:rFonts w:ascii="Figtree" w:hAnsi="Figtree" w:cs="Tahoma"/>
        </w:rPr>
      </w:pPr>
    </w:p>
    <w:p w:rsidRPr="00100DB5" w:rsidR="00100DB5" w:rsidP="00100DB5" w:rsidRDefault="00100DB5" w14:paraId="21DE18B1" w14:textId="6A34E34F">
      <w:pPr>
        <w:spacing w:line="276" w:lineRule="auto"/>
        <w:rPr>
          <w:rFonts w:ascii="Figtree" w:hAnsi="Figtree" w:cs="Tahoma"/>
          <w:b/>
          <w:bCs/>
        </w:rPr>
      </w:pPr>
      <w:r w:rsidRPr="0A54188E">
        <w:rPr>
          <w:rFonts w:ascii="Figtree" w:hAnsi="Figtree" w:cs="Tahoma"/>
          <w:b/>
          <w:bCs/>
        </w:rPr>
        <w:t xml:space="preserve">4. </w:t>
      </w:r>
      <w:r w:rsidRPr="0A54188E" w:rsidR="00D57661">
        <w:rPr>
          <w:rFonts w:ascii="Figtree" w:hAnsi="Figtree" w:cs="Tahoma"/>
          <w:b/>
          <w:bCs/>
        </w:rPr>
        <w:t xml:space="preserve">Case Study: </w:t>
      </w:r>
      <w:r w:rsidRPr="0A54188E">
        <w:rPr>
          <w:rFonts w:ascii="Figtree" w:hAnsi="Figtree" w:cs="Tahoma"/>
          <w:b/>
          <w:bCs/>
        </w:rPr>
        <w:t>Systemic Exclusion from Higher Education</w:t>
      </w:r>
      <w:r w:rsidRPr="0A54188E" w:rsidR="00D57661">
        <w:rPr>
          <w:rFonts w:ascii="Figtree" w:hAnsi="Figtree" w:cs="Tahoma"/>
          <w:b/>
          <w:bCs/>
        </w:rPr>
        <w:t xml:space="preserve"> Re-Produced by </w:t>
      </w:r>
      <w:r w:rsidRPr="0A54188E">
        <w:rPr>
          <w:rFonts w:ascii="Figtree" w:hAnsi="Figtree" w:cs="Tahoma"/>
          <w:b/>
          <w:bCs/>
        </w:rPr>
        <w:t>The Universities Accord</w:t>
      </w:r>
    </w:p>
    <w:p w:rsidR="00100DB5" w:rsidP="00100DB5" w:rsidRDefault="50CE2698" w14:paraId="421BAF6A" w14:textId="548DDC14">
      <w:pPr>
        <w:spacing w:line="276" w:lineRule="auto"/>
        <w:rPr>
          <w:rFonts w:ascii="Figtree" w:hAnsi="Figtree" w:cs="Tahoma"/>
        </w:rPr>
      </w:pPr>
      <w:r>
        <w:rPr>
          <w:rFonts w:ascii="Figtree" w:hAnsi="Figtree" w:cs="Tahoma"/>
        </w:rPr>
        <w:t xml:space="preserve">The JAS must address the systematic gender and disability exclusion that occurs during high level reviews in contingent sectors. For example, </w:t>
      </w:r>
      <w:r w:rsidRPr="004B7D0A">
        <w:rPr>
          <w:rFonts w:ascii="Figtree" w:hAnsi="Figtree" w:cs="Tahoma"/>
        </w:rPr>
        <w:t>the 2024 </w:t>
      </w:r>
      <w:r w:rsidRPr="00FF04A3">
        <w:rPr>
          <w:rFonts w:ascii="Figtree" w:hAnsi="Figtree" w:cs="Tahoma"/>
        </w:rPr>
        <w:t>Universities Accord Final Report</w:t>
      </w:r>
      <w:r w:rsidR="004604D3">
        <w:rPr>
          <w:rStyle w:val="EndnoteReference"/>
        </w:rPr>
        <w:endnoteReference w:id="29"/>
      </w:r>
      <w:r w:rsidRPr="4FB02E99" w:rsidR="3D33DD80">
        <w:rPr>
          <w:rStyle w:val="EndnoteReference"/>
        </w:rPr>
        <w:t xml:space="preserve"> </w:t>
      </w:r>
      <w:r w:rsidRPr="00100DB5">
        <w:rPr>
          <w:rFonts w:ascii="Figtree" w:hAnsi="Figtree" w:cs="Tahoma"/>
        </w:rPr>
        <w:t>institutionalises systemic exclusion of people with disabilit</w:t>
      </w:r>
      <w:r w:rsidRPr="5E13A8B2">
        <w:rPr>
          <w:rFonts w:ascii="Figtree" w:hAnsi="Figtree" w:cs="Tahoma"/>
        </w:rPr>
        <w:t>y from tertiary education, directly contradicting Australia’s obligations under the </w:t>
      </w:r>
      <w:r w:rsidRPr="4FB02E99">
        <w:rPr>
          <w:rFonts w:ascii="Figtree" w:hAnsi="Figtree" w:cs="Tahoma"/>
          <w:i/>
          <w:iCs/>
        </w:rPr>
        <w:t>Disability Discrimination Act 1992 (DDA)</w:t>
      </w:r>
      <w:r w:rsidRPr="00100DB5" w:rsidR="233B2FE1">
        <w:rPr>
          <w:rFonts w:ascii="Figtree" w:hAnsi="Figtree" w:cs="Tahoma"/>
        </w:rPr>
        <w:t xml:space="preserve"> </w:t>
      </w:r>
      <w:r w:rsidRPr="5E13A8B2">
        <w:rPr>
          <w:rFonts w:ascii="Figtree" w:hAnsi="Figtree" w:cs="Tahoma"/>
        </w:rPr>
        <w:t>and the</w:t>
      </w:r>
      <w:r w:rsidRPr="5E13A8B2" w:rsidR="6FB77E29">
        <w:rPr>
          <w:rFonts w:ascii="Figtree" w:hAnsi="Figtree" w:cs="Tahoma"/>
        </w:rPr>
        <w:t xml:space="preserve"> CRPD</w:t>
      </w:r>
      <w:r w:rsidRPr="4FB02E99" w:rsidR="00F53593">
        <w:rPr>
          <w:rStyle w:val="EndnoteReference"/>
          <w:rFonts w:ascii="Figtree" w:hAnsi="Figtree" w:cs="Tahoma"/>
          <w:i/>
          <w:iCs/>
        </w:rPr>
        <w:endnoteReference w:id="30"/>
      </w:r>
      <w:r w:rsidRPr="5E13A8B2" w:rsidR="6C7252B2">
        <w:t>￼</w:t>
      </w:r>
      <w:r w:rsidRPr="00100DB5" w:rsidR="6319CB16">
        <w:rPr>
          <w:rFonts w:ascii="Figtree" w:hAnsi="Figtree" w:cs="Tahoma"/>
        </w:rPr>
        <w:t xml:space="preserve">. </w:t>
      </w:r>
      <w:r w:rsidRPr="002B294D">
        <w:rPr>
          <w:rFonts w:ascii="Figtree" w:hAnsi="Figtree" w:cs="Tahoma"/>
        </w:rPr>
        <w:t xml:space="preserve">WWDA echoes the concerns raised by Children and Young People with Disability Australia (CYDA) and </w:t>
      </w:r>
      <w:r w:rsidRPr="00F77DA2">
        <w:rPr>
          <w:rFonts w:ascii="Figtree" w:hAnsi="Figtree" w:cs="Tahoma"/>
        </w:rPr>
        <w:t>the </w:t>
      </w:r>
      <w:r w:rsidRPr="002B294D" w:rsidR="193FC927">
        <w:rPr>
          <w:rFonts w:ascii="Figtree" w:hAnsi="Figtree" w:cs="Tahoma"/>
        </w:rPr>
        <w:t>joint</w:t>
      </w:r>
      <w:r w:rsidR="193FC927">
        <w:rPr>
          <w:rFonts w:ascii="Figtree" w:hAnsi="Figtree" w:cs="Tahoma"/>
        </w:rPr>
        <w:t xml:space="preserve"> submission</w:t>
      </w:r>
      <w:r w:rsidRPr="002B294D" w:rsidR="71D32140">
        <w:rPr>
          <w:rFonts w:ascii="Figtree" w:hAnsi="Figtree" w:cs="Tahoma"/>
        </w:rPr>
        <w:t xml:space="preserve"> published by</w:t>
      </w:r>
      <w:r w:rsidRPr="002B294D" w:rsidR="193FC927">
        <w:rPr>
          <w:rFonts w:ascii="Figtree" w:hAnsi="Figtree" w:cs="Tahoma"/>
        </w:rPr>
        <w:t xml:space="preserve"> </w:t>
      </w:r>
      <w:r w:rsidRPr="00F77DA2" w:rsidR="0EC21EC7">
        <w:rPr>
          <w:rFonts w:ascii="Figtree" w:hAnsi="Figtree" w:cs="Tahoma"/>
        </w:rPr>
        <w:t xml:space="preserve">Australian Disability Clearinghouse on Education and </w:t>
      </w:r>
      <w:r w:rsidRPr="00F77DA2" w:rsidDel="00AC5EC8" w:rsidR="0EC21EC7">
        <w:rPr>
          <w:rFonts w:ascii="Figtree" w:hAnsi="Figtree" w:cs="Tahoma"/>
        </w:rPr>
        <w:t>Training</w:t>
      </w:r>
      <w:r w:rsidRPr="00F77DA2" w:rsidR="0EC21EC7">
        <w:rPr>
          <w:rFonts w:ascii="Figtree" w:hAnsi="Figtree" w:cs="Tahoma"/>
        </w:rPr>
        <w:t xml:space="preserve"> </w:t>
      </w:r>
      <w:r w:rsidRPr="00F77DA2">
        <w:rPr>
          <w:rFonts w:ascii="Figtree" w:hAnsi="Figtree" w:cs="Tahoma"/>
        </w:rPr>
        <w:t>(</w:t>
      </w:r>
      <w:r w:rsidRPr="00F77DA2" w:rsidR="0EC21EC7">
        <w:rPr>
          <w:rFonts w:ascii="Figtree" w:hAnsi="Figtree" w:cs="Tahoma"/>
        </w:rPr>
        <w:t>ADCET</w:t>
      </w:r>
      <w:r w:rsidRPr="00F77DA2" w:rsidR="00AC5EC8">
        <w:rPr>
          <w:rStyle w:val="EndnoteReference"/>
          <w:rFonts w:ascii="Figtree" w:hAnsi="Figtree" w:cs="Tahoma"/>
        </w:rPr>
        <w:endnoteReference w:id="31"/>
      </w:r>
      <w:r w:rsidRPr="00100DB5">
        <w:rPr>
          <w:rFonts w:ascii="Figtree" w:hAnsi="Figtree" w:cs="Tahoma"/>
        </w:rPr>
        <w:t xml:space="preserve">, which condemns the Accord’s ableist framing and exclusion of people with “profound disability” from </w:t>
      </w:r>
      <w:r>
        <w:rPr>
          <w:rFonts w:ascii="Figtree" w:hAnsi="Figtree" w:cs="Tahoma"/>
        </w:rPr>
        <w:t>participation targets</w:t>
      </w:r>
      <w:r w:rsidRPr="5E13A8B2">
        <w:rPr>
          <w:rFonts w:ascii="Figtree" w:hAnsi="Figtree" w:cs="Tahoma"/>
        </w:rPr>
        <w:t xml:space="preserve">. </w:t>
      </w:r>
    </w:p>
    <w:p w:rsidRPr="00100DB5" w:rsidR="00100DB5" w:rsidP="00100DB5" w:rsidRDefault="00100DB5" w14:paraId="1A260392" w14:textId="77777777">
      <w:pPr>
        <w:spacing w:line="276" w:lineRule="auto"/>
        <w:rPr>
          <w:rFonts w:ascii="Figtree" w:hAnsi="Figtree" w:cs="Tahoma"/>
        </w:rPr>
      </w:pPr>
    </w:p>
    <w:p w:rsidRPr="00100DB5" w:rsidR="00100DB5" w:rsidP="00100DB5" w:rsidRDefault="00100DB5" w14:paraId="3B2543CF" w14:textId="77777777">
      <w:pPr>
        <w:spacing w:line="276" w:lineRule="auto"/>
        <w:rPr>
          <w:rFonts w:ascii="Figtree" w:hAnsi="Figtree" w:cs="Tahoma"/>
        </w:rPr>
      </w:pPr>
      <w:r w:rsidRPr="00100DB5">
        <w:rPr>
          <w:rFonts w:ascii="Figtree" w:hAnsi="Figtree" w:cs="Tahoma"/>
          <w:b/>
          <w:bCs/>
        </w:rPr>
        <w:t>Key Failures</w:t>
      </w:r>
      <w:r w:rsidRPr="00100DB5">
        <w:rPr>
          <w:rFonts w:ascii="Figtree" w:hAnsi="Figtree" w:cs="Tahoma"/>
        </w:rPr>
        <w:t>:</w:t>
      </w:r>
    </w:p>
    <w:p w:rsidRPr="00100DB5" w:rsidR="00100DB5" w:rsidP="00100DB5" w:rsidRDefault="00100DB5" w14:paraId="1FA72EEC" w14:textId="2B2A9B86">
      <w:pPr>
        <w:numPr>
          <w:ilvl w:val="0"/>
          <w:numId w:val="39"/>
        </w:numPr>
        <w:spacing w:line="276" w:lineRule="auto"/>
        <w:rPr>
          <w:rFonts w:ascii="Figtree" w:hAnsi="Figtree" w:cs="Tahoma"/>
        </w:rPr>
      </w:pPr>
      <w:r w:rsidRPr="00100DB5">
        <w:rPr>
          <w:rFonts w:ascii="Figtree" w:hAnsi="Figtree" w:cs="Tahoma"/>
          <w:b/>
          <w:bCs/>
        </w:rPr>
        <w:t>Stagnant Participation Targets</w:t>
      </w:r>
      <w:r w:rsidRPr="00100DB5">
        <w:rPr>
          <w:rFonts w:ascii="Figtree" w:hAnsi="Figtree" w:cs="Tahoma"/>
        </w:rPr>
        <w:t>: The Accord sets a static 11.6% participation rate for students with disability through 2035, while aiming for 24% for regional students</w:t>
      </w:r>
      <w:r w:rsidR="0095635B">
        <w:rPr>
          <w:rStyle w:val="EndnoteReference"/>
          <w:rFonts w:ascii="Figtree" w:hAnsi="Figtree" w:cs="Tahoma"/>
        </w:rPr>
        <w:endnoteReference w:id="32"/>
      </w:r>
      <w:r w:rsidRPr="00100DB5">
        <w:rPr>
          <w:rFonts w:ascii="Figtree" w:hAnsi="Figtree" w:cs="Tahoma"/>
        </w:rPr>
        <w:t>. This breaches CRPD Article 24 by normalising low expectations.</w:t>
      </w:r>
    </w:p>
    <w:p w:rsidRPr="00100DB5" w:rsidR="00100DB5" w:rsidP="00100DB5" w:rsidRDefault="00100DB5" w14:paraId="6BBFDB97" w14:textId="1C9D2EE9">
      <w:pPr>
        <w:numPr>
          <w:ilvl w:val="0"/>
          <w:numId w:val="39"/>
        </w:numPr>
        <w:spacing w:line="276" w:lineRule="auto"/>
        <w:rPr>
          <w:rFonts w:ascii="Figtree" w:hAnsi="Figtree" w:cs="Tahoma"/>
        </w:rPr>
      </w:pPr>
      <w:r w:rsidRPr="00100DB5">
        <w:rPr>
          <w:rFonts w:ascii="Figtree" w:hAnsi="Figtree" w:cs="Tahoma"/>
          <w:b/>
          <w:bCs/>
        </w:rPr>
        <w:t>Medicali</w:t>
      </w:r>
      <w:r>
        <w:rPr>
          <w:rFonts w:ascii="Figtree" w:hAnsi="Figtree" w:cs="Tahoma"/>
          <w:b/>
          <w:bCs/>
        </w:rPr>
        <w:t>s</w:t>
      </w:r>
      <w:r w:rsidRPr="00100DB5">
        <w:rPr>
          <w:rFonts w:ascii="Figtree" w:hAnsi="Figtree" w:cs="Tahoma"/>
          <w:b/>
          <w:bCs/>
        </w:rPr>
        <w:t>ed Exclusion</w:t>
      </w:r>
      <w:r w:rsidRPr="00100DB5">
        <w:rPr>
          <w:rFonts w:ascii="Figtree" w:hAnsi="Figtree" w:cs="Tahoma"/>
        </w:rPr>
        <w:t>: By defining “profound disability” as requiring “always help with self-care, mobility, and communication” (ABS criteria), the Accord erases achievements of disabled scholars and perpetuates harmful stereotypes</w:t>
      </w:r>
      <w:r w:rsidR="00AC5EC8">
        <w:rPr>
          <w:rStyle w:val="EndnoteReference"/>
          <w:rFonts w:ascii="Figtree" w:hAnsi="Figtree" w:cs="Tahoma"/>
        </w:rPr>
        <w:endnoteReference w:id="33"/>
      </w:r>
      <w:r w:rsidR="00AC5EC8">
        <w:rPr>
          <w:rFonts w:ascii="Figtree" w:hAnsi="Figtree" w:cs="Tahoma"/>
        </w:rPr>
        <w:t>.</w:t>
      </w:r>
    </w:p>
    <w:p w:rsidR="00100DB5" w:rsidP="00100DB5" w:rsidRDefault="00100DB5" w14:paraId="3A58111D" w14:textId="6D8F4869">
      <w:pPr>
        <w:numPr>
          <w:ilvl w:val="0"/>
          <w:numId w:val="39"/>
        </w:numPr>
        <w:spacing w:line="276" w:lineRule="auto"/>
        <w:rPr>
          <w:rFonts w:ascii="Figtree" w:hAnsi="Figtree" w:cs="Tahoma"/>
        </w:rPr>
      </w:pPr>
      <w:r w:rsidRPr="00100DB5">
        <w:rPr>
          <w:rFonts w:ascii="Figtree" w:hAnsi="Figtree" w:cs="Tahoma"/>
          <w:b/>
          <w:bCs/>
        </w:rPr>
        <w:t>Omission of Universal Design for Learning (UDL)</w:t>
      </w:r>
      <w:r w:rsidRPr="00100DB5">
        <w:rPr>
          <w:rFonts w:ascii="Figtree" w:hAnsi="Figtree" w:cs="Tahoma"/>
        </w:rPr>
        <w:t>: Despite evidence that UDL improves outcomes for all students, the Accord ignores systemic reforms to teaching practices</w:t>
      </w:r>
      <w:r w:rsidR="000B4C41">
        <w:rPr>
          <w:rStyle w:val="EndnoteReference"/>
          <w:rFonts w:ascii="Figtree" w:hAnsi="Figtree" w:cs="Tahoma"/>
        </w:rPr>
        <w:endnoteReference w:id="34"/>
      </w:r>
      <w:r w:rsidR="00046754">
        <w:rPr>
          <w:rFonts w:ascii="Figtree" w:hAnsi="Figtree" w:cs="Tahoma"/>
        </w:rPr>
        <w:t>.</w:t>
      </w:r>
    </w:p>
    <w:p w:rsidRPr="00100DB5" w:rsidR="00100DB5" w:rsidP="00100DB5" w:rsidRDefault="00100DB5" w14:paraId="6FD7002E" w14:textId="77777777">
      <w:pPr>
        <w:spacing w:line="276" w:lineRule="auto"/>
        <w:ind w:left="720"/>
        <w:rPr>
          <w:rFonts w:ascii="Figtree" w:hAnsi="Figtree" w:cs="Tahoma"/>
        </w:rPr>
      </w:pPr>
    </w:p>
    <w:p w:rsidRPr="00100DB5" w:rsidR="00100DB5" w:rsidP="00100DB5" w:rsidRDefault="00100DB5" w14:paraId="5F955688" w14:textId="3FBE33E7">
      <w:pPr>
        <w:spacing w:line="276" w:lineRule="auto"/>
        <w:rPr>
          <w:rFonts w:ascii="Figtree" w:hAnsi="Figtree" w:cs="Tahoma"/>
        </w:rPr>
      </w:pPr>
      <w:r w:rsidRPr="00100DB5">
        <w:rPr>
          <w:rFonts w:ascii="Figtree" w:hAnsi="Figtree" w:cs="Tahoma"/>
          <w:b/>
          <w:bCs/>
        </w:rPr>
        <w:t>Impact on Women with Disability</w:t>
      </w:r>
      <w:r w:rsidRPr="00100DB5">
        <w:rPr>
          <w:rFonts w:ascii="Figtree" w:hAnsi="Figtree" w:cs="Tahoma"/>
        </w:rPr>
        <w:t>:</w:t>
      </w:r>
      <w:r w:rsidRPr="00100DB5">
        <w:rPr>
          <w:rFonts w:ascii="Figtree" w:hAnsi="Figtree" w:cs="Tahoma"/>
        </w:rPr>
        <w:br/>
      </w:r>
      <w:r w:rsidR="00D57661">
        <w:rPr>
          <w:rFonts w:ascii="Figtree" w:hAnsi="Figtree" w:cs="Tahoma"/>
        </w:rPr>
        <w:t>The consequence of this systemic exclusion is compounded for w</w:t>
      </w:r>
      <w:r w:rsidRPr="00D57661" w:rsidR="00D57661">
        <w:rPr>
          <w:rFonts w:ascii="Figtree" w:hAnsi="Figtree" w:cs="Tahoma"/>
        </w:rPr>
        <w:t>omen</w:t>
      </w:r>
      <w:r w:rsidR="00D57661">
        <w:rPr>
          <w:rFonts w:ascii="Figtree" w:hAnsi="Figtree" w:cs="Tahoma"/>
        </w:rPr>
        <w:t xml:space="preserve"> </w:t>
      </w:r>
      <w:r w:rsidRPr="00D57661" w:rsidR="00D57661">
        <w:rPr>
          <w:rFonts w:ascii="Figtree" w:hAnsi="Figtree" w:cs="Tahoma"/>
        </w:rPr>
        <w:t>with</w:t>
      </w:r>
      <w:r w:rsidR="00D57661">
        <w:rPr>
          <w:rFonts w:ascii="Figtree" w:hAnsi="Figtree" w:cs="Tahoma"/>
        </w:rPr>
        <w:t xml:space="preserve"> disabilities, </w:t>
      </w:r>
      <w:r w:rsidRPr="00D57661" w:rsidR="00D57661">
        <w:rPr>
          <w:rFonts w:ascii="Figtree" w:hAnsi="Figtree" w:cs="Tahoma"/>
        </w:rPr>
        <w:t xml:space="preserve">with only 20% securing full-time employment compared to 42% of men with disabilities </w:t>
      </w:r>
      <w:r w:rsidR="00046754">
        <w:rPr>
          <w:rStyle w:val="EndnoteReference"/>
          <w:rFonts w:ascii="Figtree" w:hAnsi="Figtree" w:cs="Tahoma"/>
        </w:rPr>
        <w:endnoteReference w:id="35"/>
      </w:r>
      <w:r w:rsidR="00616C0D">
        <w:rPr>
          <w:rFonts w:ascii="Figtree" w:hAnsi="Figtree" w:cs="Tahoma"/>
        </w:rPr>
        <w:t xml:space="preserve">. </w:t>
      </w:r>
      <w:r w:rsidRPr="00D57661" w:rsidR="00D57661">
        <w:rPr>
          <w:rFonts w:ascii="Figtree" w:hAnsi="Figtree" w:cs="Tahoma"/>
        </w:rPr>
        <w:lastRenderedPageBreak/>
        <w:t>The Universities Accord’s failure to mandate inclusive curricula or Universal Design for Learning entrenches occupational segregation</w:t>
      </w:r>
      <w:r w:rsidR="00D57661">
        <w:rPr>
          <w:rFonts w:ascii="Figtree" w:hAnsi="Figtree" w:cs="Tahoma"/>
        </w:rPr>
        <w:t xml:space="preserve"> that is the focus of JAS study. </w:t>
      </w:r>
    </w:p>
    <w:p w:rsidR="00100DB5" w:rsidP="00100DB5" w:rsidRDefault="00100DB5" w14:paraId="21756A9C" w14:textId="77777777">
      <w:pPr>
        <w:spacing w:line="276" w:lineRule="auto"/>
        <w:rPr>
          <w:rFonts w:ascii="Figtree" w:hAnsi="Figtree" w:cs="Tahoma"/>
        </w:rPr>
      </w:pPr>
    </w:p>
    <w:p w:rsidRPr="001509ED" w:rsidR="008129CD" w:rsidP="008129CD" w:rsidRDefault="008129CD" w14:paraId="42681C34" w14:textId="77777777">
      <w:pPr>
        <w:spacing w:line="276" w:lineRule="auto"/>
        <w:rPr>
          <w:rFonts w:ascii="Figtree" w:hAnsi="Figtree" w:cs="Tahoma"/>
        </w:rPr>
      </w:pPr>
    </w:p>
    <w:p w:rsidRPr="001509ED" w:rsidR="001509ED" w:rsidP="001509ED" w:rsidRDefault="00100DB5" w14:paraId="2E8E38D7" w14:textId="0B775565">
      <w:pPr>
        <w:spacing w:line="276" w:lineRule="auto"/>
        <w:rPr>
          <w:rFonts w:ascii="Figtree" w:hAnsi="Figtree" w:cs="Tahoma"/>
          <w:b/>
          <w:bCs/>
        </w:rPr>
      </w:pPr>
      <w:r>
        <w:rPr>
          <w:rFonts w:ascii="Figtree" w:hAnsi="Figtree" w:cs="Tahoma"/>
          <w:b/>
          <w:bCs/>
        </w:rPr>
        <w:t>5</w:t>
      </w:r>
      <w:r w:rsidRPr="001509ED" w:rsidR="001509ED">
        <w:rPr>
          <w:rFonts w:ascii="Figtree" w:hAnsi="Figtree" w:cs="Tahoma"/>
          <w:b/>
          <w:bCs/>
        </w:rPr>
        <w:t>. Policy Recommendations</w:t>
      </w:r>
    </w:p>
    <w:p w:rsidRPr="001509ED" w:rsidR="001509ED" w:rsidP="001509ED" w:rsidRDefault="00100DB5" w14:paraId="21274B4D" w14:textId="61EFF3D0">
      <w:pPr>
        <w:spacing w:line="276" w:lineRule="auto"/>
        <w:rPr>
          <w:rFonts w:ascii="Figtree" w:hAnsi="Figtree" w:cs="Tahoma"/>
          <w:b/>
          <w:bCs/>
        </w:rPr>
      </w:pPr>
      <w:r>
        <w:rPr>
          <w:rFonts w:ascii="Figtree" w:hAnsi="Figtree" w:cs="Tahoma"/>
          <w:b/>
          <w:bCs/>
        </w:rPr>
        <w:t>5</w:t>
      </w:r>
      <w:r w:rsidRPr="001509ED" w:rsidR="001509ED">
        <w:rPr>
          <w:rFonts w:ascii="Figtree" w:hAnsi="Figtree" w:cs="Tahoma"/>
          <w:b/>
          <w:bCs/>
        </w:rPr>
        <w:t>.1 Education and Skills System Reforms</w:t>
      </w:r>
    </w:p>
    <w:p w:rsidRPr="001556EC" w:rsidR="00B142C0" w:rsidP="005F242C" w:rsidRDefault="5C409724" w14:paraId="0D9C51E1" w14:textId="192A87F7">
      <w:pPr>
        <w:numPr>
          <w:ilvl w:val="0"/>
          <w:numId w:val="34"/>
        </w:numPr>
        <w:spacing w:line="276" w:lineRule="auto"/>
        <w:rPr>
          <w:rFonts w:ascii="Figtree" w:hAnsi="Figtree" w:cs="Tahoma"/>
          <w:b/>
          <w:bCs/>
        </w:rPr>
      </w:pPr>
      <w:r w:rsidRPr="001556EC">
        <w:rPr>
          <w:rFonts w:ascii="Figtree" w:hAnsi="Figtree" w:cs="Tahoma"/>
          <w:b/>
          <w:bCs/>
        </w:rPr>
        <w:t>Legislate inclusive education reforms under the </w:t>
      </w:r>
      <w:r w:rsidRPr="001556EC">
        <w:rPr>
          <w:rFonts w:ascii="Figtree" w:hAnsi="Figtree" w:cs="Tahoma"/>
          <w:b/>
          <w:bCs/>
          <w:i/>
          <w:iCs/>
        </w:rPr>
        <w:t>Disability Standards for Education 2005</w:t>
      </w:r>
      <w:r w:rsidRPr="001556EC">
        <w:rPr>
          <w:rFonts w:ascii="Figtree" w:hAnsi="Figtree" w:cs="Tahoma"/>
          <w:b/>
          <w:bCs/>
        </w:rPr>
        <w:t xml:space="preserve"> to phase out segregated schooling. </w:t>
      </w:r>
    </w:p>
    <w:p w:rsidRPr="005F242C" w:rsidR="00B142C0" w:rsidP="001556EC" w:rsidRDefault="798AD498" w14:paraId="6A3E293C" w14:textId="7A54B5F7">
      <w:pPr>
        <w:spacing w:line="276" w:lineRule="auto"/>
        <w:ind w:left="720"/>
        <w:rPr>
          <w:rFonts w:ascii="Figtree" w:hAnsi="Figtree" w:cs="Tahoma"/>
        </w:rPr>
      </w:pPr>
      <w:r w:rsidRPr="5E13A8B2">
        <w:rPr>
          <w:rFonts w:ascii="Figtree" w:hAnsi="Figtree" w:cs="Tahoma"/>
        </w:rPr>
        <w:t>This aligns with </w:t>
      </w:r>
      <w:r w:rsidRPr="001556EC">
        <w:rPr>
          <w:rFonts w:ascii="Figtree" w:hAnsi="Figtree" w:cs="Tahoma"/>
        </w:rPr>
        <w:t>Recommendation</w:t>
      </w:r>
      <w:r w:rsidRPr="5E13A8B2" w:rsidR="34DF8D2A">
        <w:rPr>
          <w:rFonts w:ascii="Figtree" w:hAnsi="Figtree" w:cs="Tahoma"/>
        </w:rPr>
        <w:t>s</w:t>
      </w:r>
      <w:r w:rsidRPr="5E13A8B2" w:rsidR="042E8640">
        <w:rPr>
          <w:rFonts w:ascii="Figtree" w:hAnsi="Figtree" w:cs="Tahoma"/>
        </w:rPr>
        <w:t xml:space="preserve"> 7.14 </w:t>
      </w:r>
      <w:r w:rsidRPr="5E13A8B2">
        <w:rPr>
          <w:rFonts w:ascii="Figtree" w:hAnsi="Figtree" w:cs="Tahoma"/>
        </w:rPr>
        <w:t xml:space="preserve">of the Disability Royal Commission (DRC) Final Report, which calls for the elimination of segregated education </w:t>
      </w:r>
      <w:r w:rsidRPr="5E13A8B2" w:rsidR="02EE080E">
        <w:rPr>
          <w:rFonts w:ascii="Figtree" w:hAnsi="Figtree" w:cs="Tahoma"/>
        </w:rPr>
        <w:t xml:space="preserve">through the </w:t>
      </w:r>
      <w:r w:rsidRPr="5E13A8B2" w:rsidR="02EE080E">
        <w:rPr>
          <w:rFonts w:ascii="Figtree" w:hAnsi="Figtree" w:eastAsia="Figtree" w:cs="Figtree"/>
        </w:rPr>
        <w:t xml:space="preserve">National School Reform Agreement </w:t>
      </w:r>
      <w:r w:rsidR="00BF0853">
        <w:rPr>
          <w:rStyle w:val="EndnoteReference"/>
          <w:rFonts w:ascii="Figtree" w:hAnsi="Figtree" w:cs="Tahoma"/>
        </w:rPr>
        <w:endnoteReference w:id="36"/>
      </w:r>
      <w:r w:rsidRPr="5E13A8B2">
        <w:rPr>
          <w:rFonts w:ascii="Figtree" w:hAnsi="Figtree" w:cs="Tahoma"/>
        </w:rPr>
        <w:t>. The </w:t>
      </w:r>
      <w:r w:rsidRPr="001556EC">
        <w:rPr>
          <w:rFonts w:ascii="Figtree" w:hAnsi="Figtree" w:cs="Tahoma"/>
        </w:rPr>
        <w:t>Australian Coalition for Inclusive Education (ACIE) Roadmap</w:t>
      </w:r>
      <w:r w:rsidRPr="5E13A8B2">
        <w:rPr>
          <w:rFonts w:ascii="Figtree" w:hAnsi="Figtree" w:cs="Tahoma"/>
        </w:rPr>
        <w:t> reinforces this, identifying legislative alignment with CRPD Article 24</w:t>
      </w:r>
      <w:r w:rsidRPr="5E13A8B2" w:rsidR="3054AAA3">
        <w:rPr>
          <w:rFonts w:ascii="Figtree" w:hAnsi="Figtree" w:cs="Tahoma"/>
        </w:rPr>
        <w:t xml:space="preserve"> </w:t>
      </w:r>
      <w:r w:rsidRPr="5E13A8B2">
        <w:rPr>
          <w:rFonts w:ascii="Figtree" w:hAnsi="Figtree" w:cs="Tahoma"/>
        </w:rPr>
        <w:t>as a foundational pillar to ensure all students access mainstream education</w:t>
      </w:r>
      <w:r w:rsidR="00BF0853">
        <w:rPr>
          <w:rStyle w:val="EndnoteReference"/>
          <w:rFonts w:ascii="Figtree" w:hAnsi="Figtree" w:cs="Tahoma"/>
        </w:rPr>
        <w:endnoteReference w:id="37"/>
      </w:r>
      <w:r w:rsidRPr="5E13A8B2">
        <w:rPr>
          <w:rFonts w:ascii="Figtree" w:hAnsi="Figtree" w:cs="Tahoma"/>
        </w:rPr>
        <w:t xml:space="preserve">. The </w:t>
      </w:r>
      <w:proofErr w:type="gramStart"/>
      <w:r w:rsidRPr="5E13A8B2">
        <w:rPr>
          <w:rFonts w:ascii="Figtree" w:hAnsi="Figtree" w:cs="Tahoma"/>
        </w:rPr>
        <w:t>Roadmap’s</w:t>
      </w:r>
      <w:proofErr w:type="gramEnd"/>
      <w:r w:rsidRPr="5E13A8B2">
        <w:rPr>
          <w:rFonts w:ascii="Figtree" w:hAnsi="Figtree" w:cs="Tahoma"/>
        </w:rPr>
        <w:t xml:space="preserve"> 10-year outcomes framework prioritises systemic reforms to transition students from “special schools” to inclusive settings.</w:t>
      </w:r>
    </w:p>
    <w:p w:rsidRPr="001556EC" w:rsidR="0041458B" w:rsidP="0041458B" w:rsidRDefault="0041458B" w14:paraId="366F8EFF" w14:textId="208D731E">
      <w:pPr>
        <w:numPr>
          <w:ilvl w:val="0"/>
          <w:numId w:val="34"/>
        </w:numPr>
        <w:spacing w:line="276" w:lineRule="auto"/>
        <w:rPr>
          <w:rFonts w:ascii="Figtree" w:hAnsi="Figtree" w:cs="Tahoma"/>
          <w:b/>
          <w:bCs/>
        </w:rPr>
      </w:pPr>
      <w:r w:rsidRPr="001556EC">
        <w:rPr>
          <w:rFonts w:ascii="Figtree" w:hAnsi="Figtree" w:cs="Tahoma"/>
          <w:b/>
          <w:bCs/>
        </w:rPr>
        <w:t xml:space="preserve">Fund disability-led trauma-informed training for educators that challenge ableist and sexist stereotypes. </w:t>
      </w:r>
    </w:p>
    <w:p w:rsidRPr="005F242C" w:rsidR="00B142C0" w:rsidP="001556EC" w:rsidRDefault="00B142C0" w14:paraId="13A60884" w14:textId="459E10E9">
      <w:pPr>
        <w:spacing w:line="276" w:lineRule="auto"/>
        <w:ind w:left="720"/>
        <w:rPr>
          <w:rFonts w:ascii="Figtree" w:hAnsi="Figtree" w:cs="Tahoma"/>
        </w:rPr>
      </w:pPr>
      <w:r w:rsidRPr="005F242C">
        <w:rPr>
          <w:rFonts w:ascii="Figtree" w:hAnsi="Figtree" w:cs="Tahoma"/>
        </w:rPr>
        <w:t>The ACIE Roadmap</w:t>
      </w:r>
      <w:r w:rsidR="00BF59FF">
        <w:rPr>
          <w:rStyle w:val="EndnoteReference"/>
          <w:rFonts w:ascii="Figtree" w:hAnsi="Figtree" w:cs="Tahoma"/>
        </w:rPr>
        <w:endnoteReference w:id="38"/>
      </w:r>
      <w:r w:rsidRPr="005F242C">
        <w:rPr>
          <w:rFonts w:ascii="Figtree" w:hAnsi="Figtree" w:cs="Tahoma"/>
        </w:rPr>
        <w:t xml:space="preserve"> highlights </w:t>
      </w:r>
      <w:r w:rsidR="00BF59FF">
        <w:rPr>
          <w:rFonts w:ascii="Figtree" w:hAnsi="Figtree" w:cs="Tahoma"/>
        </w:rPr>
        <w:t>the need to invest in professional development in teaching settings</w:t>
      </w:r>
      <w:r w:rsidRPr="005F242C">
        <w:rPr>
          <w:rFonts w:ascii="Figtree" w:hAnsi="Figtree" w:cs="Tahoma"/>
        </w:rPr>
        <w:t xml:space="preserve"> as a key lever to dismantle stereotypes and </w:t>
      </w:r>
      <w:r w:rsidR="00BF59FF">
        <w:rPr>
          <w:rFonts w:ascii="Figtree" w:hAnsi="Figtree" w:cs="Tahoma"/>
        </w:rPr>
        <w:t>cultivate inclusive practice.</w:t>
      </w:r>
    </w:p>
    <w:p w:rsidRPr="005F242C" w:rsidR="0041458B" w:rsidP="0041458B" w:rsidRDefault="0041458B" w14:paraId="16B43533" w14:textId="6CA6893E">
      <w:pPr>
        <w:numPr>
          <w:ilvl w:val="0"/>
          <w:numId w:val="34"/>
        </w:numPr>
        <w:spacing w:line="276" w:lineRule="auto"/>
        <w:rPr>
          <w:rFonts w:ascii="Figtree" w:hAnsi="Figtree" w:cs="Tahoma"/>
          <w:b/>
          <w:bCs/>
        </w:rPr>
      </w:pPr>
      <w:r w:rsidRPr="001556EC">
        <w:rPr>
          <w:rFonts w:ascii="Figtree" w:hAnsi="Figtree" w:cs="Tahoma"/>
          <w:b/>
          <w:bCs/>
        </w:rPr>
        <w:t>Address the “leaky pipeline” in post-training outcomes for women with disability through targeted funding for STEM and non-traditional vocational pathways</w:t>
      </w:r>
      <w:r w:rsidRPr="005F242C">
        <w:rPr>
          <w:rFonts w:ascii="Figtree" w:hAnsi="Figtree" w:cs="Tahoma"/>
          <w:b/>
          <w:bCs/>
        </w:rPr>
        <w:t>.</w:t>
      </w:r>
    </w:p>
    <w:p w:rsidRPr="001556EC" w:rsidR="00B142C0" w:rsidP="001556EC" w:rsidRDefault="00B142C0" w14:paraId="0B259F99" w14:textId="575CAAC4">
      <w:pPr>
        <w:spacing w:line="276" w:lineRule="auto"/>
        <w:ind w:left="720"/>
        <w:rPr>
          <w:rFonts w:ascii="Figtree" w:hAnsi="Figtree" w:cs="Tahoma"/>
        </w:rPr>
      </w:pPr>
      <w:r w:rsidRPr="001556EC">
        <w:rPr>
          <w:rFonts w:ascii="Figtree" w:hAnsi="Figtree" w:cs="Tahoma"/>
        </w:rPr>
        <w:t xml:space="preserve">The ACIE Roadmap </w:t>
      </w:r>
      <w:r w:rsidR="00BF59FF">
        <w:rPr>
          <w:rFonts w:ascii="Figtree" w:hAnsi="Figtree" w:cs="Tahoma"/>
        </w:rPr>
        <w:t>similarly advocates for targeted initiatives to increase participation for students with disability in higher education and</w:t>
      </w:r>
      <w:r w:rsidRPr="001556EC">
        <w:rPr>
          <w:rFonts w:ascii="Figtree" w:hAnsi="Figtree" w:cs="Tahoma"/>
        </w:rPr>
        <w:t xml:space="preserve"> vocational programs</w:t>
      </w:r>
      <w:r w:rsidR="00BF59FF">
        <w:rPr>
          <w:rStyle w:val="EndnoteReference"/>
          <w:rFonts w:ascii="Figtree" w:hAnsi="Figtree" w:cs="Tahoma"/>
        </w:rPr>
        <w:endnoteReference w:id="39"/>
      </w:r>
      <w:r w:rsidRPr="001556EC">
        <w:rPr>
          <w:rFonts w:ascii="Figtree" w:hAnsi="Figtree" w:cs="Tahoma"/>
        </w:rPr>
        <w:t>.</w:t>
      </w:r>
    </w:p>
    <w:p w:rsidRPr="005B6EB7" w:rsidR="004A2880" w:rsidP="004A2880" w:rsidRDefault="54B61035" w14:paraId="44B8C386" w14:textId="43F842A7">
      <w:pPr>
        <w:numPr>
          <w:ilvl w:val="0"/>
          <w:numId w:val="34"/>
        </w:numPr>
        <w:spacing w:line="276" w:lineRule="auto"/>
        <w:rPr>
          <w:rFonts w:ascii="Figtree" w:hAnsi="Figtree" w:cs="Tahoma"/>
          <w:b/>
          <w:bCs/>
        </w:rPr>
      </w:pPr>
      <w:r w:rsidRPr="001556EC">
        <w:rPr>
          <w:rFonts w:ascii="Figtree" w:hAnsi="Figtree" w:cs="Tahoma"/>
          <w:b/>
          <w:bCs/>
        </w:rPr>
        <w:t xml:space="preserve">Redirect </w:t>
      </w:r>
      <w:r w:rsidR="005B6EB7">
        <w:rPr>
          <w:rFonts w:ascii="Figtree" w:hAnsi="Figtree" w:cs="Tahoma"/>
          <w:b/>
          <w:bCs/>
        </w:rPr>
        <w:t xml:space="preserve">dedicated funding </w:t>
      </w:r>
      <w:r w:rsidRPr="001556EC">
        <w:rPr>
          <w:rFonts w:ascii="Figtree" w:hAnsi="Figtree" w:cs="Tahoma"/>
          <w:b/>
          <w:bCs/>
        </w:rPr>
        <w:t xml:space="preserve">from the National Skills Agreement to scholarships and workplace adjustments for women with disability entering male-dominated </w:t>
      </w:r>
      <w:r w:rsidRPr="005B6EB7">
        <w:rPr>
          <w:rFonts w:ascii="Figtree" w:hAnsi="Figtree" w:cs="Tahoma"/>
          <w:b/>
          <w:bCs/>
        </w:rPr>
        <w:t>industries, addressing occupational segregation</w:t>
      </w:r>
      <w:r w:rsidRPr="005B6EB7" w:rsidR="19E84694">
        <w:rPr>
          <w:rFonts w:ascii="Figtree" w:hAnsi="Figtree" w:cs="Tahoma"/>
          <w:b/>
          <w:bCs/>
        </w:rPr>
        <w:t xml:space="preserve">. </w:t>
      </w:r>
    </w:p>
    <w:p w:rsidRPr="005F242C" w:rsidR="00B142C0" w:rsidP="005B6EB7" w:rsidRDefault="00B142C0" w14:paraId="4302E9D8" w14:textId="7893D2CC">
      <w:pPr>
        <w:spacing w:line="276" w:lineRule="auto"/>
        <w:ind w:left="720"/>
        <w:rPr>
          <w:rFonts w:ascii="Figtree" w:hAnsi="Figtree" w:cs="Tahoma"/>
        </w:rPr>
      </w:pPr>
      <w:r w:rsidRPr="005F242C">
        <w:rPr>
          <w:rFonts w:ascii="Figtree" w:hAnsi="Figtree" w:cs="Tahoma"/>
        </w:rPr>
        <w:t>Redirecting funds to scholarships would operationalise CRPD Article 6 (women with disability) and Article 27 (right to work)</w:t>
      </w:r>
      <w:r w:rsidR="00BF59FF">
        <w:rPr>
          <w:rStyle w:val="EndnoteReference"/>
          <w:rFonts w:ascii="Figtree" w:hAnsi="Figtree" w:cs="Tahoma"/>
        </w:rPr>
        <w:endnoteReference w:id="40"/>
      </w:r>
      <w:r w:rsidRPr="005F242C">
        <w:rPr>
          <w:rFonts w:ascii="Figtree" w:hAnsi="Figtree" w:cs="Tahoma"/>
        </w:rPr>
        <w:t>.</w:t>
      </w:r>
    </w:p>
    <w:p w:rsidRPr="001509ED" w:rsidR="0089409E" w:rsidP="0089409E" w:rsidRDefault="0089409E" w14:paraId="0933C1F1" w14:textId="77777777">
      <w:pPr>
        <w:spacing w:line="276" w:lineRule="auto"/>
        <w:rPr>
          <w:rFonts w:ascii="Figtree" w:hAnsi="Figtree" w:cs="Tahoma"/>
        </w:rPr>
      </w:pPr>
    </w:p>
    <w:p w:rsidRPr="001509ED" w:rsidR="001509ED" w:rsidP="001509ED" w:rsidRDefault="00100DB5" w14:paraId="2C413A66" w14:textId="685F07CA">
      <w:pPr>
        <w:spacing w:line="276" w:lineRule="auto"/>
        <w:rPr>
          <w:rFonts w:ascii="Figtree" w:hAnsi="Figtree" w:cs="Tahoma"/>
          <w:b/>
          <w:bCs/>
        </w:rPr>
      </w:pPr>
      <w:r>
        <w:rPr>
          <w:rFonts w:ascii="Figtree" w:hAnsi="Figtree" w:cs="Tahoma"/>
          <w:b/>
          <w:bCs/>
        </w:rPr>
        <w:t>5</w:t>
      </w:r>
      <w:r w:rsidRPr="001509ED" w:rsidR="001509ED">
        <w:rPr>
          <w:rFonts w:ascii="Figtree" w:hAnsi="Figtree" w:cs="Tahoma"/>
          <w:b/>
          <w:bCs/>
        </w:rPr>
        <w:t>.2 Labour Market Interventions</w:t>
      </w:r>
    </w:p>
    <w:p w:rsidR="004A2880" w:rsidP="005B6EB7" w:rsidRDefault="54B61035" w14:paraId="50F2C6D7" w14:textId="2F893888">
      <w:pPr>
        <w:numPr>
          <w:ilvl w:val="0"/>
          <w:numId w:val="34"/>
        </w:numPr>
        <w:spacing w:line="276" w:lineRule="auto"/>
        <w:rPr>
          <w:rFonts w:ascii="Figtree" w:hAnsi="Figtree" w:cs="Tahoma"/>
        </w:rPr>
      </w:pPr>
      <w:r w:rsidRPr="00D57661" w:rsidR="54B61035">
        <w:rPr>
          <w:rFonts w:ascii="Figtree" w:hAnsi="Figtree" w:cs="Tahoma"/>
        </w:rPr>
        <w:t>Legislate equal pay in employment by phasing out subminimum wages in Australian Disability Enterprises by 2026, as mandated by CRPD Article 27</w:t>
      </w:r>
      <w:r w:rsidR="00BE46FA">
        <w:rPr>
          <w:rStyle w:val="EndnoteReference"/>
          <w:rFonts w:ascii="Figtree" w:hAnsi="Figtree" w:cs="Tahoma"/>
        </w:rPr>
        <w:endnoteReference w:id="41"/>
      </w:r>
      <w:r w:rsidRPr="00D57661" w:rsidR="54B61035">
        <w:rPr>
          <w:rFonts w:ascii="Figtree" w:hAnsi="Figtree" w:cs="Tahoma"/>
        </w:rPr>
        <w:t xml:space="preserve"> and</w:t>
      </w:r>
      <w:r w:rsidRPr="00D57661" w:rsidR="304C146E">
        <w:rPr>
          <w:rFonts w:ascii="Figtree" w:hAnsi="Figtree" w:cs="Tahoma"/>
        </w:rPr>
        <w:t xml:space="preserve"> recommended in</w:t>
      </w:r>
      <w:r w:rsidRPr="00D57661" w:rsidR="54B61035">
        <w:rPr>
          <w:rFonts w:ascii="Figtree" w:hAnsi="Figtree" w:cs="Tahoma"/>
        </w:rPr>
        <w:t xml:space="preserve"> WWDA’s 2020 </w:t>
      </w:r>
      <w:r w:rsidRPr="3EA0DD33" w:rsidR="54B61035">
        <w:rPr>
          <w:rFonts w:ascii="Figtree" w:hAnsi="Figtree" w:cs="Tahoma"/>
          <w:i w:val="1"/>
          <w:iCs w:val="1"/>
        </w:rPr>
        <w:t>Employment Issues Paper Response</w:t>
      </w:r>
      <w:r w:rsidRPr="3EA0DD33" w:rsidR="00203BEB">
        <w:rPr>
          <w:rStyle w:val="EndnoteReference"/>
          <w:rFonts w:ascii="Figtree" w:hAnsi="Figtree" w:cs="Tahoma"/>
          <w:i w:val="1"/>
          <w:iCs w:val="1"/>
        </w:rPr>
        <w:endnoteReference w:id="42"/>
      </w:r>
      <w:r w:rsidRPr="3EA0DD33" w:rsidR="1D8F5E30">
        <w:rPr>
          <w:rFonts w:ascii="Figtree" w:hAnsi="Figtree" w:cs="Tahoma"/>
          <w:i w:val="1"/>
          <w:iCs w:val="1"/>
        </w:rPr>
        <w:t>.</w:t>
      </w:r>
    </w:p>
    <w:p w:rsidRPr="001509ED" w:rsidR="001509ED" w:rsidP="004E0DF4" w:rsidRDefault="001509ED" w14:paraId="5D6A1559" w14:textId="78C5A25D">
      <w:pPr>
        <w:numPr>
          <w:ilvl w:val="0"/>
          <w:numId w:val="34"/>
        </w:numPr>
        <w:spacing w:line="276" w:lineRule="auto"/>
        <w:rPr>
          <w:rFonts w:ascii="Figtree" w:hAnsi="Figtree" w:cs="Tahoma"/>
        </w:rPr>
      </w:pPr>
      <w:r w:rsidRPr="001509ED">
        <w:rPr>
          <w:rFonts w:ascii="Figtree" w:hAnsi="Figtree" w:cs="Tahoma"/>
        </w:rPr>
        <w:lastRenderedPageBreak/>
        <w:t>Adopt WWDA’s 2020 recommendation to develop a National Disability Employment Strategy with gender-specific targets</w:t>
      </w:r>
      <w:r w:rsidR="00D57661">
        <w:rPr>
          <w:rFonts w:ascii="Figtree" w:hAnsi="Figtree" w:cs="Tahoma"/>
        </w:rPr>
        <w:t xml:space="preserve">. </w:t>
      </w:r>
    </w:p>
    <w:p w:rsidR="001509ED" w:rsidP="004E0DF4" w:rsidRDefault="001509ED" w14:paraId="49C1DD4F" w14:textId="2A193F86">
      <w:pPr>
        <w:numPr>
          <w:ilvl w:val="0"/>
          <w:numId w:val="34"/>
        </w:numPr>
        <w:spacing w:line="276" w:lineRule="auto"/>
        <w:rPr>
          <w:rFonts w:ascii="Figtree" w:hAnsi="Figtree" w:cs="Tahoma"/>
        </w:rPr>
      </w:pPr>
      <w:r w:rsidRPr="001509ED">
        <w:rPr>
          <w:rFonts w:ascii="Figtree" w:hAnsi="Figtree" w:cs="Tahoma"/>
        </w:rPr>
        <w:t xml:space="preserve">Expand the </w:t>
      </w:r>
      <w:r w:rsidRPr="001509ED">
        <w:rPr>
          <w:rFonts w:ascii="Figtree" w:hAnsi="Figtree" w:cs="Tahoma"/>
          <w:i/>
          <w:iCs/>
        </w:rPr>
        <w:t>Working for Women Strategy</w:t>
      </w:r>
      <w:r w:rsidR="00057970">
        <w:rPr>
          <w:rStyle w:val="EndnoteReference"/>
          <w:rFonts w:ascii="Figtree" w:hAnsi="Figtree" w:cs="Tahoma"/>
          <w:i/>
          <w:iCs/>
        </w:rPr>
        <w:endnoteReference w:id="43"/>
      </w:r>
      <w:r w:rsidR="00057970">
        <w:rPr>
          <w:rFonts w:ascii="Figtree" w:hAnsi="Figtree" w:cs="Tahoma"/>
          <w:i/>
          <w:iCs/>
        </w:rPr>
        <w:t xml:space="preserve"> </w:t>
      </w:r>
      <w:r w:rsidRPr="001509ED">
        <w:rPr>
          <w:rFonts w:ascii="Figtree" w:hAnsi="Figtree" w:cs="Tahoma"/>
        </w:rPr>
        <w:t>to include measures for women with disability in male-dominated industries</w:t>
      </w:r>
      <w:r w:rsidRPr="008129CD" w:rsidR="008129CD">
        <w:rPr>
          <w:rFonts w:ascii="Figtree" w:hAnsi="Figtree" w:cs="Tahoma"/>
        </w:rPr>
        <w:t>.</w:t>
      </w:r>
    </w:p>
    <w:p w:rsidRPr="001509ED" w:rsidR="0089409E" w:rsidP="0089409E" w:rsidRDefault="0089409E" w14:paraId="2A67E346" w14:textId="77777777">
      <w:pPr>
        <w:spacing w:line="276" w:lineRule="auto"/>
        <w:rPr>
          <w:rFonts w:ascii="Figtree" w:hAnsi="Figtree" w:cs="Tahoma"/>
        </w:rPr>
      </w:pPr>
    </w:p>
    <w:p w:rsidRPr="001509ED" w:rsidR="001509ED" w:rsidP="001509ED" w:rsidRDefault="00100DB5" w14:paraId="2D5401B5" w14:textId="364065F0">
      <w:pPr>
        <w:spacing w:line="276" w:lineRule="auto"/>
        <w:rPr>
          <w:rFonts w:ascii="Figtree" w:hAnsi="Figtree" w:cs="Tahoma"/>
          <w:b/>
          <w:bCs/>
        </w:rPr>
      </w:pPr>
      <w:r>
        <w:rPr>
          <w:rFonts w:ascii="Figtree" w:hAnsi="Figtree" w:cs="Tahoma"/>
          <w:b/>
          <w:bCs/>
        </w:rPr>
        <w:t>5</w:t>
      </w:r>
      <w:r w:rsidRPr="001509ED" w:rsidR="001509ED">
        <w:rPr>
          <w:rFonts w:ascii="Figtree" w:hAnsi="Figtree" w:cs="Tahoma"/>
          <w:b/>
          <w:bCs/>
        </w:rPr>
        <w:t>.3 Strengthening Safeguards and Accountability</w:t>
      </w:r>
    </w:p>
    <w:p w:rsidRPr="001509ED" w:rsidR="001509ED" w:rsidP="004E0DF4" w:rsidRDefault="001509ED" w14:paraId="0AD246B6" w14:textId="78FF1890">
      <w:pPr>
        <w:numPr>
          <w:ilvl w:val="0"/>
          <w:numId w:val="34"/>
        </w:numPr>
        <w:spacing w:line="276" w:lineRule="auto"/>
        <w:rPr>
          <w:rFonts w:ascii="Figtree" w:hAnsi="Figtree" w:cs="Tahoma"/>
        </w:rPr>
      </w:pPr>
      <w:r w:rsidRPr="001509ED">
        <w:rPr>
          <w:rFonts w:ascii="Figtree" w:hAnsi="Figtree" w:cs="Tahoma"/>
        </w:rPr>
        <w:t>Implement WWDA’s 2020 call for a national oversight mechanism to address workplace violence and exploitation</w:t>
      </w:r>
      <w:r w:rsidRPr="008129CD" w:rsidR="008129CD">
        <w:rPr>
          <w:rFonts w:ascii="Figtree" w:hAnsi="Figtree" w:cs="Tahoma"/>
        </w:rPr>
        <w:t>.</w:t>
      </w:r>
    </w:p>
    <w:p w:rsidR="001509ED" w:rsidP="004E0DF4" w:rsidRDefault="001509ED" w14:paraId="3FEF724F" w14:textId="274368CA">
      <w:pPr>
        <w:numPr>
          <w:ilvl w:val="0"/>
          <w:numId w:val="34"/>
        </w:numPr>
        <w:spacing w:line="276" w:lineRule="auto"/>
        <w:rPr>
          <w:rFonts w:ascii="Figtree" w:hAnsi="Figtree" w:cs="Tahoma"/>
        </w:rPr>
      </w:pPr>
      <w:r w:rsidRPr="001509ED">
        <w:rPr>
          <w:rFonts w:ascii="Figtree" w:hAnsi="Figtree" w:cs="Tahoma"/>
        </w:rPr>
        <w:t>Integrate CRPD compliance into JSA’s Gender Framework to ensure intersectional analysis across labour market policies</w:t>
      </w:r>
      <w:r w:rsidRPr="008129CD" w:rsidR="008129CD">
        <w:rPr>
          <w:rFonts w:ascii="Figtree" w:hAnsi="Figtree" w:cs="Tahoma"/>
        </w:rPr>
        <w:t>.</w:t>
      </w:r>
    </w:p>
    <w:p w:rsidR="00D57661" w:rsidP="004E0DF4" w:rsidRDefault="004A2880" w14:paraId="06265486" w14:textId="651D553C">
      <w:pPr>
        <w:numPr>
          <w:ilvl w:val="0"/>
          <w:numId w:val="34"/>
        </w:numPr>
        <w:spacing w:line="276" w:lineRule="auto"/>
        <w:rPr>
          <w:rFonts w:ascii="Figtree" w:hAnsi="Figtree" w:cs="Tahoma"/>
        </w:rPr>
      </w:pPr>
      <w:r w:rsidRPr="66D730F7">
        <w:rPr>
          <w:rFonts w:ascii="Figtree" w:hAnsi="Figtree" w:cs="Tahoma"/>
        </w:rPr>
        <w:t>Mandate intersectional workforce reporting through amendments to the </w:t>
      </w:r>
      <w:r w:rsidRPr="66D730F7">
        <w:rPr>
          <w:rFonts w:ascii="Figtree" w:hAnsi="Figtree" w:cs="Tahoma"/>
          <w:i/>
          <w:iCs/>
        </w:rPr>
        <w:t>Disability Standards for Education 2005</w:t>
      </w:r>
      <w:r w:rsidRPr="66D730F7">
        <w:rPr>
          <w:rFonts w:ascii="Figtree" w:hAnsi="Figtree" w:cs="Tahoma"/>
        </w:rPr>
        <w:t>, requiring universities and vocational providers to disclose disability participation, retention, and post-study wage gaps by gender</w:t>
      </w:r>
      <w:r w:rsidRPr="66D730F7" w:rsidR="000E0BF2">
        <w:rPr>
          <w:rFonts w:ascii="Figtree" w:hAnsi="Figtree" w:cs="Tahoma"/>
        </w:rPr>
        <w:t xml:space="preserve">. </w:t>
      </w:r>
    </w:p>
    <w:p w:rsidRPr="00E610C4" w:rsidR="00E610C4" w:rsidP="004E0DF4" w:rsidRDefault="6B04F6D9" w14:paraId="559BA35D" w14:textId="0F290CEC">
      <w:pPr>
        <w:numPr>
          <w:ilvl w:val="0"/>
          <w:numId w:val="34"/>
        </w:numPr>
        <w:spacing w:line="276" w:lineRule="auto"/>
        <w:rPr>
          <w:rFonts w:ascii="Figtree" w:hAnsi="Figtree" w:cs="Tahoma"/>
        </w:rPr>
      </w:pPr>
      <w:r w:rsidRPr="5E13A8B2">
        <w:rPr>
          <w:rFonts w:ascii="Figtree" w:hAnsi="Figtree" w:cs="Tahoma"/>
        </w:rPr>
        <w:t xml:space="preserve">Mandate intersectional pay gap reporting by WGEA, disaggregated by gender, disability, First Nations </w:t>
      </w:r>
      <w:r w:rsidR="003958A1">
        <w:rPr>
          <w:rFonts w:ascii="Figtree" w:hAnsi="Figtree" w:cs="Tahoma"/>
        </w:rPr>
        <w:t xml:space="preserve">and Culturally and Racially Marginalised (CARM) </w:t>
      </w:r>
      <w:r w:rsidRPr="5E13A8B2">
        <w:rPr>
          <w:rFonts w:ascii="Figtree" w:hAnsi="Figtree" w:cs="Tahoma"/>
        </w:rPr>
        <w:t>status.</w:t>
      </w:r>
    </w:p>
    <w:p w:rsidRPr="001509ED" w:rsidR="008129CD" w:rsidP="008129CD" w:rsidRDefault="008129CD" w14:paraId="53B04C76" w14:textId="77777777">
      <w:pPr>
        <w:spacing w:line="276" w:lineRule="auto"/>
        <w:rPr>
          <w:rFonts w:ascii="Figtree" w:hAnsi="Figtree" w:cs="Tahoma"/>
        </w:rPr>
      </w:pPr>
    </w:p>
    <w:p w:rsidRPr="001509ED" w:rsidR="001509ED" w:rsidP="001509ED" w:rsidRDefault="00100DB5" w14:paraId="60011165" w14:textId="37214D0A">
      <w:pPr>
        <w:spacing w:line="276" w:lineRule="auto"/>
        <w:rPr>
          <w:rFonts w:ascii="Figtree" w:hAnsi="Figtree" w:cs="Tahoma"/>
          <w:b/>
          <w:bCs/>
        </w:rPr>
      </w:pPr>
      <w:r>
        <w:rPr>
          <w:rFonts w:ascii="Figtree" w:hAnsi="Figtree" w:cs="Tahoma"/>
          <w:b/>
          <w:bCs/>
        </w:rPr>
        <w:t>6</w:t>
      </w:r>
      <w:r w:rsidRPr="001509ED" w:rsidR="001509ED">
        <w:rPr>
          <w:rFonts w:ascii="Figtree" w:hAnsi="Figtree" w:cs="Tahoma"/>
          <w:b/>
          <w:bCs/>
        </w:rPr>
        <w:t>. Conclusion</w:t>
      </w:r>
    </w:p>
    <w:p w:rsidRPr="008129CD" w:rsidR="001509ED" w:rsidP="66D730F7" w:rsidRDefault="00BD026A" w14:paraId="24054196" w14:textId="4428644D">
      <w:pPr>
        <w:spacing w:line="276" w:lineRule="auto"/>
        <w:rPr>
          <w:rFonts w:ascii="Figtree" w:hAnsi="Figtree" w:cs="Tahoma"/>
        </w:rPr>
      </w:pPr>
      <w:r w:rsidRPr="66D730F7">
        <w:rPr>
          <w:rFonts w:ascii="Figtree" w:hAnsi="Figtree" w:cs="Tahoma"/>
        </w:rPr>
        <w:t xml:space="preserve">To avoid the perpetuation of barriers evident in The Universities Accord, </w:t>
      </w:r>
      <w:r w:rsidRPr="66D730F7" w:rsidR="003A09D9">
        <w:rPr>
          <w:rFonts w:ascii="Figtree" w:hAnsi="Figtree" w:cs="Tahoma"/>
        </w:rPr>
        <w:t xml:space="preserve">WWDA urges JSA to prioritise the experiences of women and girls with disability in its </w:t>
      </w:r>
      <w:r w:rsidRPr="66D730F7" w:rsidR="000E0BF2">
        <w:rPr>
          <w:rFonts w:ascii="Figtree" w:hAnsi="Figtree" w:cs="Tahoma"/>
        </w:rPr>
        <w:t>study</w:t>
      </w:r>
      <w:r w:rsidRPr="66D730F7">
        <w:rPr>
          <w:rFonts w:ascii="Figtree" w:hAnsi="Figtree" w:cs="Tahoma"/>
        </w:rPr>
        <w:t xml:space="preserve">. We are committed to continuing to work constructively with Government, Tertiary and Industry partners on human </w:t>
      </w:r>
      <w:r w:rsidRPr="66D730F7" w:rsidR="0089409E">
        <w:rPr>
          <w:rFonts w:ascii="Figtree" w:hAnsi="Figtree" w:cs="Tahoma"/>
        </w:rPr>
        <w:t>rights-based</w:t>
      </w:r>
      <w:r w:rsidRPr="66D730F7">
        <w:rPr>
          <w:rFonts w:ascii="Figtree" w:hAnsi="Figtree" w:cs="Tahoma"/>
        </w:rPr>
        <w:t xml:space="preserve"> reform. </w:t>
      </w:r>
    </w:p>
    <w:p w:rsidRPr="001509ED" w:rsidR="008129CD" w:rsidP="001509ED" w:rsidRDefault="008129CD" w14:paraId="7310526F" w14:textId="77777777">
      <w:pPr>
        <w:spacing w:line="276" w:lineRule="auto"/>
        <w:rPr>
          <w:rFonts w:ascii="Figtree" w:hAnsi="Figtree" w:cs="Tahoma"/>
          <w:b/>
          <w:bCs/>
        </w:rPr>
      </w:pPr>
    </w:p>
    <w:p w:rsidRPr="0083077E" w:rsidR="007577D5" w:rsidP="3EA0DD33" w:rsidRDefault="007577D5" w14:paraId="1B243328" w14:textId="5502296C">
      <w:pPr>
        <w:pStyle w:val="Normal"/>
        <w:spacing w:line="276" w:lineRule="auto"/>
        <w:rPr>
          <w:rFonts w:ascii="Figtree" w:hAnsi="Figtree" w:eastAsia="Figtree" w:cs="Figtree"/>
          <w:lang w:val="en-GB"/>
        </w:rPr>
      </w:pPr>
      <w:r w:rsidRPr="3EA0DD33" w:rsidR="007577D5">
        <w:rPr>
          <w:rFonts w:ascii="Figtree" w:hAnsi="Figtree" w:eastAsia="Figtree" w:cs="Figtree"/>
          <w:lang w:val="en-GB"/>
        </w:rPr>
        <w:t>Yours sincerely,</w:t>
      </w:r>
    </w:p>
    <w:p w:rsidRPr="0083077E" w:rsidR="007577D5" w:rsidP="3EA0DD33" w:rsidRDefault="001556EC" w14:paraId="56CB41B3" w14:textId="09AC2241" w14:noSpellErr="1">
      <w:pPr>
        <w:spacing w:line="276" w:lineRule="auto"/>
        <w:rPr>
          <w:rFonts w:ascii="Figtree" w:hAnsi="Figtree" w:eastAsia="Figtree" w:cs="Figtree"/>
          <w:lang w:val="en-GB"/>
        </w:rPr>
      </w:pPr>
      <w:r w:rsidRPr="3EA0DD33" w:rsidR="001556EC">
        <w:rPr>
          <w:rFonts w:ascii="Figtree" w:hAnsi="Figtree" w:eastAsia="Figtree" w:cs="Figtree"/>
          <w:lang w:val="en-GB"/>
        </w:rPr>
        <w:t>Sophie Cusworth</w:t>
      </w:r>
    </w:p>
    <w:p w:rsidRPr="0083077E" w:rsidR="007577D5" w:rsidP="3EA0DD33" w:rsidRDefault="001556EC" w14:paraId="4EA44465" w14:textId="30FD56CD" w14:noSpellErr="1">
      <w:pPr>
        <w:spacing w:line="276" w:lineRule="auto"/>
        <w:rPr>
          <w:rFonts w:ascii="Figtree" w:hAnsi="Figtree" w:eastAsia="Figtree" w:cs="Figtree"/>
          <w:b w:val="1"/>
          <w:bCs w:val="1"/>
          <w:lang w:val="en-GB"/>
        </w:rPr>
      </w:pPr>
      <w:r w:rsidRPr="3EA0DD33" w:rsidR="001556EC">
        <w:rPr>
          <w:rFonts w:ascii="Figtree" w:hAnsi="Figtree" w:eastAsia="Figtree" w:cs="Figtree"/>
          <w:b w:val="1"/>
          <w:bCs w:val="1"/>
          <w:lang w:val="en-GB"/>
        </w:rPr>
        <w:t>Chief Executive Officer</w:t>
      </w:r>
    </w:p>
    <w:p w:rsidR="3EA0DD33" w:rsidP="3EA0DD33" w:rsidRDefault="3EA0DD33" w14:paraId="504117CE" w14:textId="3DCD70D0">
      <w:pPr>
        <w:pStyle w:val="Normal"/>
        <w:spacing w:line="276" w:lineRule="auto"/>
        <w:rPr>
          <w:rFonts w:ascii="Figtree" w:hAnsi="Figtree" w:cs="Tahoma"/>
          <w:b w:val="1"/>
          <w:bCs w:val="1"/>
        </w:rPr>
      </w:pPr>
    </w:p>
    <w:p w:rsidR="3EA0DD33" w:rsidP="3EA0DD33" w:rsidRDefault="3EA0DD33" w14:paraId="2D6C13B0" w14:textId="34BCA980">
      <w:pPr>
        <w:pStyle w:val="Normal"/>
        <w:spacing w:line="276" w:lineRule="auto"/>
        <w:rPr>
          <w:rFonts w:ascii="Figtree" w:hAnsi="Figtree" w:cs="Tahoma"/>
          <w:b w:val="1"/>
          <w:bCs w:val="1"/>
        </w:rPr>
      </w:pPr>
    </w:p>
    <w:p w:rsidRPr="001556EC" w:rsidR="000D7FF7" w:rsidP="3EA0DD33" w:rsidRDefault="001556EC" w14:paraId="4A9A6702" w14:textId="01E41D3D">
      <w:pPr>
        <w:pStyle w:val="Normal"/>
        <w:spacing w:line="276" w:lineRule="auto"/>
        <w:rPr>
          <w:rFonts w:ascii="Figtree" w:hAnsi="Figtree" w:cs="Tahoma"/>
          <w:b w:val="1"/>
          <w:bCs w:val="1"/>
        </w:rPr>
      </w:pPr>
      <w:r w:rsidRPr="3EA0DD33" w:rsidR="001556EC">
        <w:rPr>
          <w:rFonts w:ascii="Figtree" w:hAnsi="Figtree" w:cs="Tahoma"/>
          <w:b w:val="1"/>
          <w:bCs w:val="1"/>
        </w:rPr>
        <w:t>References</w:t>
      </w:r>
    </w:p>
    <w:sectPr w:rsidRPr="001556EC" w:rsidR="000D7FF7" w:rsidSect="00973814">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2E18" w:rsidP="00785531" w:rsidRDefault="00E42E18" w14:paraId="568AAED5" w14:textId="77777777">
      <w:r>
        <w:separator/>
      </w:r>
    </w:p>
  </w:endnote>
  <w:endnote w:type="continuationSeparator" w:id="0">
    <w:p w:rsidR="00E42E18" w:rsidP="00785531" w:rsidRDefault="00E42E18" w14:paraId="499B863C" w14:textId="77777777">
      <w:r>
        <w:continuationSeparator/>
      </w:r>
    </w:p>
  </w:endnote>
  <w:endnote w:type="continuationNotice" w:id="1">
    <w:p w:rsidR="00E42E18" w:rsidRDefault="00E42E18" w14:paraId="497573F4" w14:textId="77777777"/>
  </w:endnote>
  <w:endnote w:id="2">
    <w:p w:rsidRPr="00E87FBC" w:rsidR="005909B1" w:rsidRDefault="005909B1" w14:paraId="68D19CDB" w14:textId="54D7769D">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796CFD">
        <w:rPr>
          <w:rFonts w:cstheme="minorHAnsi"/>
        </w:rPr>
        <w:instrText xml:space="preserve"> ADDIN ZOTERO_ITEM CSL_CITATION {"citationID":"K8Bxx4L1","properties":{"formattedCitation":"Women with Disabilities Australia (WWDA), {\\i{}Response to the Education and Learning Issues Paper of the Royal Commission into Violence, Abuse, Neglect and Exploitation of People with Disability} (WWDA, March 2020) &lt;https://wwda.org.au/wp-content/uploads/2020/06/WWDA-Response-to-Education-and-Learning-Issues-Paper.pdf&gt;.","plainCitation":"Women with Disabilities Australia (WWDA), Response to the Education and Learning Issues Paper of the Royal Commission into Violence, Abuse, Neglect and Exploitation of People with Disability (WWDA, March 2020) &lt;https://wwda.org.au/wp-content/uploads/2020/06/WWDA-Response-to-Education-and-Learning-Issues-Paper.pdf&gt;.","noteIndex":1},"citationItems":[{"id":44,"uris":["http://zotero.org/users/16548767/items/57XQG9R4"],"itemData":{"id":44,"type":"report","event-place":"Hobart, Tasmania","publisher":"WWDA","publisher-place":"Hobart, Tasmania","title":"Response to the Education and Learning Issues Paper of the Royal Commission into Violence, Abuse, Neglect and Exploitation of People with Disability","URL":"https://wwda.org.au/wp-content/uploads/2020/06/WWDA-Response-to-Education-and-Learning-Issues-Paper.pdf","author":[{"family":"Women with Disabilities Australia (WWDA)","given":""}],"issued":{"date-parts":[["2020",3]]}}}],"schema":"https://github.com/citation-style-language/schema/raw/master/csl-citation.json"} </w:instrText>
      </w:r>
      <w:r w:rsidRPr="00E87FBC">
        <w:rPr>
          <w:rFonts w:cstheme="minorHAnsi"/>
        </w:rPr>
        <w:fldChar w:fldCharType="separate"/>
      </w:r>
      <w:r w:rsidRPr="00E87FBC" w:rsidR="00796CFD">
        <w:rPr>
          <w:rFonts w:cstheme="minorHAnsi"/>
        </w:rPr>
        <w:t xml:space="preserve">Women with Disabilities Australia (WWDA), </w:t>
      </w:r>
      <w:r w:rsidRPr="00E87FBC" w:rsidR="00796CFD">
        <w:rPr>
          <w:rFonts w:cstheme="minorHAnsi"/>
          <w:i/>
          <w:iCs/>
        </w:rPr>
        <w:t>Response to the Education and Learning Issues Paper of the Royal Commission into Violence, Abuse, Neglect and Exploitation of People with Disability</w:t>
      </w:r>
      <w:r w:rsidRPr="00E87FBC" w:rsidR="00796CFD">
        <w:rPr>
          <w:rFonts w:cstheme="minorHAnsi"/>
        </w:rPr>
        <w:t xml:space="preserve"> (WWDA, March 2020) &lt;https://wwda.org.au/wp-content/uploads/2020/06/WWDA-Response-to-Education-and-Learning-Issues-Paper.pdf&gt;.</w:t>
      </w:r>
      <w:r w:rsidRPr="00E87FBC">
        <w:rPr>
          <w:rFonts w:cstheme="minorHAnsi"/>
        </w:rPr>
        <w:fldChar w:fldCharType="end"/>
      </w:r>
      <w:r w:rsidRPr="00E87FBC" w:rsidR="00CA5158">
        <w:rPr>
          <w:rFonts w:cstheme="minorHAnsi"/>
        </w:rPr>
        <w:t xml:space="preserve"> </w:t>
      </w:r>
      <w:r w:rsidRPr="00E87FBC" w:rsidR="00D60BFF">
        <w:rPr>
          <w:rFonts w:cstheme="minorHAnsi"/>
        </w:rPr>
        <w:t>Accessed 6 Mar 2024</w:t>
      </w:r>
      <w:r w:rsidRPr="00E87FBC" w:rsidR="004F5D7D">
        <w:rPr>
          <w:rFonts w:cstheme="minorHAnsi"/>
        </w:rPr>
        <w:t>.</w:t>
      </w:r>
    </w:p>
  </w:endnote>
  <w:endnote w:id="3">
    <w:p w:rsidRPr="00E87FBC" w:rsidR="00A75D14" w:rsidRDefault="00A75D14" w14:paraId="1C2103AD" w14:textId="68EE5367">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767C87">
        <w:rPr>
          <w:rFonts w:cstheme="minorHAnsi"/>
        </w:rPr>
        <w:instrText xml:space="preserve"> ADDIN ZOTERO_ITEM CSL_CITATION {"citationID":"VTl0kR60","properties":{"formattedCitation":"Women with Disabilities Australia (WWDA), {\\i{}Final Report for the Disability Employment Services (DES) Consumer Engagement Project} (WWDA, August 2014) &lt;https://wwda.org.au/wp-content/uploads/2014/10/WWDA_DES_Report_Final.pdf&gt;.","plainCitation":"Women with Disabilities Australia (WWDA), Final Report for the Disability Employment Services (DES) Consumer Engagement Project (WWDA, August 2014) &lt;https://wwda.org.au/wp-content/uploads/2014/10/WWDA_DES_Report_Final.pdf&gt;.","noteIndex":2},"citationItems":[{"id":46,"uris":["http://zotero.org/users/16548767/items/DUDGVJNK"],"itemData":{"id":46,"type":"report","event-place":"Hobart, Tasmania","publisher":"WWDA","publisher-place":"Hobart, Tasmania","title":"Final Report for the Disability Employment Services (DES) Consumer Engagement Project","URL":"https://wwda.org.au/wp-content/uploads/2014/10/WWDA_DES_Report_Final.pdf","author":[{"family":"Women with Disabilities Australia (WWDA)","given":""}],"issued":{"date-parts":[["2014",8]]}}}],"schema":"https://github.com/citation-style-language/schema/raw/master/csl-citation.json"} </w:instrText>
      </w:r>
      <w:r w:rsidRPr="00E87FBC">
        <w:rPr>
          <w:rFonts w:cstheme="minorHAnsi"/>
        </w:rPr>
        <w:fldChar w:fldCharType="separate"/>
      </w:r>
      <w:r w:rsidRPr="00E87FBC" w:rsidR="00767C87">
        <w:rPr>
          <w:rFonts w:cstheme="minorHAnsi"/>
        </w:rPr>
        <w:t xml:space="preserve">Women with Disabilities Australia (WWDA), </w:t>
      </w:r>
      <w:r w:rsidRPr="00E87FBC" w:rsidR="00767C87">
        <w:rPr>
          <w:rFonts w:cstheme="minorHAnsi"/>
          <w:i/>
          <w:iCs/>
        </w:rPr>
        <w:t>Final Report for the Disability Employment Services (DES) Consumer Engagement Project</w:t>
      </w:r>
      <w:r w:rsidRPr="00E87FBC" w:rsidR="00767C87">
        <w:rPr>
          <w:rFonts w:cstheme="minorHAnsi"/>
        </w:rPr>
        <w:t xml:space="preserve"> (WWDA, August 2014) &lt;https://wwda.org.au/wp-content/uploads/2014/10/WWDA_DES_Report_Final.pdf&gt;.</w:t>
      </w:r>
      <w:r w:rsidRPr="00E87FBC">
        <w:rPr>
          <w:rFonts w:cstheme="minorHAnsi"/>
        </w:rPr>
        <w:fldChar w:fldCharType="end"/>
      </w:r>
      <w:r w:rsidRPr="00E87FBC" w:rsidR="00D60BFF">
        <w:rPr>
          <w:rFonts w:cstheme="minorHAnsi"/>
        </w:rPr>
        <w:t xml:space="preserve"> </w:t>
      </w:r>
      <w:r w:rsidRPr="00E87FBC" w:rsidR="00D60BFF">
        <w:rPr>
          <w:rFonts w:cstheme="minorHAnsi"/>
        </w:rPr>
        <w:t>Accessed 6 Mar 2024</w:t>
      </w:r>
      <w:r w:rsidRPr="00E87FBC" w:rsidR="004F5D7D">
        <w:rPr>
          <w:rFonts w:cstheme="minorHAnsi"/>
        </w:rPr>
        <w:t>.</w:t>
      </w:r>
    </w:p>
  </w:endnote>
  <w:endnote w:id="4">
    <w:p w:rsidRPr="00E87FBC" w:rsidR="00767C87" w:rsidRDefault="00767C87" w14:paraId="73B718AC" w14:textId="0B2D4A57">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1C5EE6">
        <w:rPr>
          <w:rFonts w:cstheme="minorHAnsi"/>
        </w:rPr>
        <w:instrText xml:space="preserve"> ADDIN ZOTERO_ITEM CSL_CITATION {"citationID":"yCyQvYv0","properties":{"formattedCitation":"United Nations, {\\i{}Convention on the Rights of Persons with Disabilities (CRPD)} &lt;https://social.desa.un.org/issues/disability/crpd/convention-on-the-rights-of-persons-with-disabilities-crpd&gt;.","plainCitation":"United Nations, Convention on the Rights of Persons with Disabilities (CRPD) &lt;https://social.desa.un.org/issues/disability/crpd/convention-on-the-rights-of-persons-with-disabilities-crpd&gt;.","noteIndex":3},"citationItems":[{"id":28,"uris":["http://zotero.org/users/16548767/items/TYP5GBFV"],"itemData":{"id":28,"type":"legislation","title":"Convention on the Rights of Persons with Disabilities (CRPD)","URL":"https://social.desa.un.org/issues/disability/crpd/convention-on-the-rights-of-persons-with-disabilities-crpd","author":[{"family":"United Nations","given":""}]}}],"schema":"https://github.com/citation-style-language/schema/raw/master/csl-citation.json"} </w:instrText>
      </w:r>
      <w:r w:rsidRPr="00E87FBC">
        <w:rPr>
          <w:rFonts w:cstheme="minorHAnsi"/>
        </w:rPr>
        <w:fldChar w:fldCharType="separate"/>
      </w:r>
      <w:r w:rsidRPr="00E87FBC" w:rsidR="001C5EE6">
        <w:rPr>
          <w:rFonts w:cstheme="minorHAnsi"/>
        </w:rPr>
        <w:t xml:space="preserve">United Nations, </w:t>
      </w:r>
      <w:r w:rsidRPr="00E87FBC" w:rsidR="001C5EE6">
        <w:rPr>
          <w:rFonts w:cstheme="minorHAnsi"/>
          <w:i/>
          <w:iCs/>
        </w:rPr>
        <w:t>Convention on the Rights of Persons with Disabilities (CRPD)</w:t>
      </w:r>
      <w:r w:rsidRPr="00E87FBC" w:rsidR="00167602">
        <w:rPr>
          <w:rFonts w:cstheme="minorHAnsi"/>
          <w:i/>
          <w:iCs/>
        </w:rPr>
        <w:t xml:space="preserve">, </w:t>
      </w:r>
      <w:r w:rsidRPr="00E87FBC" w:rsidR="00F446BA">
        <w:rPr>
          <w:rFonts w:cstheme="minorHAnsi"/>
        </w:rPr>
        <w:t>(</w:t>
      </w:r>
      <w:r w:rsidRPr="00E87FBC" w:rsidR="008D6AF0">
        <w:rPr>
          <w:rFonts w:cstheme="minorHAnsi"/>
        </w:rPr>
        <w:t>United Nations</w:t>
      </w:r>
      <w:r w:rsidRPr="00E87FBC" w:rsidR="00F446BA">
        <w:rPr>
          <w:rFonts w:cstheme="minorHAnsi"/>
        </w:rPr>
        <w:t>, 2008</w:t>
      </w:r>
      <w:proofErr w:type="gramStart"/>
      <w:r w:rsidRPr="00E87FBC" w:rsidR="00F446BA">
        <w:rPr>
          <w:rFonts w:cstheme="minorHAnsi"/>
        </w:rPr>
        <w:t>)</w:t>
      </w:r>
      <w:r w:rsidRPr="00E87FBC" w:rsidR="001C5EE6">
        <w:rPr>
          <w:rFonts w:cstheme="minorHAnsi"/>
        </w:rPr>
        <w:t xml:space="preserve"> </w:t>
      </w:r>
      <w:r w:rsidRPr="00E87FBC" w:rsidR="00F446BA">
        <w:rPr>
          <w:rFonts w:cstheme="minorHAnsi"/>
        </w:rPr>
        <w:t xml:space="preserve"> </w:t>
      </w:r>
      <w:r w:rsidRPr="00E87FBC" w:rsidR="001C5EE6">
        <w:rPr>
          <w:rFonts w:cstheme="minorHAnsi"/>
        </w:rPr>
        <w:t>&lt;</w:t>
      </w:r>
      <w:proofErr w:type="gramEnd"/>
      <w:r w:rsidRPr="00E87FBC" w:rsidR="001C5EE6">
        <w:rPr>
          <w:rFonts w:cstheme="minorHAnsi"/>
        </w:rPr>
        <w:t>https://social.desa.un.org/issues/disability/crpd/convention-on-the-rights-of-persons-with-disabilities-crpd&gt;.</w:t>
      </w:r>
      <w:r w:rsidRPr="00E87FBC">
        <w:rPr>
          <w:rFonts w:cstheme="minorHAnsi"/>
        </w:rPr>
        <w:fldChar w:fldCharType="end"/>
      </w:r>
    </w:p>
  </w:endnote>
  <w:endnote w:id="5">
    <w:p w:rsidRPr="00E87FBC" w:rsidR="00311612" w:rsidRDefault="00311612" w14:paraId="7CA52994" w14:textId="50046D07">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781C3D">
        <w:rPr>
          <w:rFonts w:cstheme="minorHAnsi"/>
        </w:rPr>
        <w:instrText xml:space="preserve"> ADDIN ZOTERO_ITEM CSL_CITATION {"citationID":"pmRijOZg","properties":{"formattedCitation":"Department of the Prime Minister and Cabinet, {\\i{}Working for Women: A Strategy for Gender Equality} (Commonwealth of Australia, 2024) &lt;https://genderequality.gov.au/&gt;.","plainCitation":"Department of the Prime Minister and Cabinet, Working for Women: A Strategy for Gender Equality (Commonwealth of Australia, 2024) &lt;https://genderequality.gov.au/&gt;.","noteIndex":4},"citationItems":[{"id":48,"uris":["http://zotero.org/users/16548767/items/DBYBQTIS"],"itemData":{"id":48,"type":"report","publisher":"Commonwealth of Australia","title":"Working for Women: A Strategy for Gender Equality","URL":"https://genderequality.gov.au/","author":[{"family":"Department of the Prime Minister and Cabinet","given":""}],"issued":{"date-parts":[["2024"]]}}}],"schema":"https://github.com/citation-style-language/schema/raw/master/csl-citation.json"} </w:instrText>
      </w:r>
      <w:r w:rsidRPr="00E87FBC">
        <w:rPr>
          <w:rFonts w:cstheme="minorHAnsi"/>
        </w:rPr>
        <w:fldChar w:fldCharType="separate"/>
      </w:r>
      <w:r w:rsidRPr="00E87FBC" w:rsidR="00781C3D">
        <w:rPr>
          <w:rFonts w:cstheme="minorHAnsi"/>
        </w:rPr>
        <w:t xml:space="preserve">Department of the Prime Minister and Cabinet, </w:t>
      </w:r>
      <w:r w:rsidRPr="00E87FBC" w:rsidR="00781C3D">
        <w:rPr>
          <w:rFonts w:cstheme="minorHAnsi"/>
          <w:i/>
          <w:iCs/>
        </w:rPr>
        <w:t>Working for Women: A Strategy for Gender Equality</w:t>
      </w:r>
      <w:r w:rsidRPr="00E87FBC" w:rsidR="00781C3D">
        <w:rPr>
          <w:rFonts w:cstheme="minorHAnsi"/>
        </w:rPr>
        <w:t xml:space="preserve"> (Commonwealth of Australia, 2024) &lt;https://genderequality.gov.au/&gt;.</w:t>
      </w:r>
      <w:r w:rsidRPr="00E87FBC">
        <w:rPr>
          <w:rFonts w:cstheme="minorHAnsi"/>
        </w:rPr>
        <w:fldChar w:fldCharType="end"/>
      </w:r>
      <w:r w:rsidRPr="00E87FBC" w:rsidR="006253C1">
        <w:rPr>
          <w:rFonts w:cstheme="minorHAnsi"/>
        </w:rPr>
        <w:t xml:space="preserve"> </w:t>
      </w:r>
      <w:r w:rsidRPr="00E87FBC" w:rsidR="006253C1">
        <w:rPr>
          <w:rFonts w:cstheme="minorHAnsi"/>
        </w:rPr>
        <w:t>Accessed 6 Mar 2024</w:t>
      </w:r>
      <w:r w:rsidRPr="00E87FBC" w:rsidR="004F5D7D">
        <w:rPr>
          <w:rFonts w:cstheme="minorHAnsi"/>
        </w:rPr>
        <w:t>.</w:t>
      </w:r>
    </w:p>
  </w:endnote>
  <w:endnote w:id="6">
    <w:p w:rsidRPr="00E87FBC" w:rsidR="00842BB7" w:rsidRDefault="00842BB7" w14:paraId="5B390EED" w14:textId="1A02859D">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Pr>
          <w:rFonts w:cstheme="minorHAnsi"/>
        </w:rPr>
        <w:instrText xml:space="preserve"> ADDIN ZOTERO_ITEM CSL_CITATION {"citationID":"cTury27E","properties":{"formattedCitation":"Department of Social Services, {\\i{}Australia\\uc0\\u8217{}s Disability Strategy 2021\\uc0\\u8211{}2031} (Commonwealth of Australia, 2024) &lt;https://www.disabilitygateway.gov.au/document/11081&gt;.","plainCitation":"Department of Social Services, Australia’s Disability Strategy 2021–2031 (Commonwealth of Australia, 2024) &lt;https://www.disabilitygateway.gov.au/document/11081&gt;.","noteIndex":5},"citationItems":[{"id":50,"uris":["http://zotero.org/users/16548767/items/H3HZVNWW"],"itemData":{"id":50,"type":"report","publisher":"Commonwealth of Australia","title":"Australia’s Disability Strategy 2021–2031","URL":"https://www.disabilitygateway.gov.au/document/11081","author":[{"family":"Department of Social Services","given":""}],"issued":{"date-parts":[["2024"]]}}}],"schema":"https://github.com/citation-style-language/schema/raw/master/csl-citation.json"} </w:instrText>
      </w:r>
      <w:r w:rsidRPr="00E87FBC">
        <w:rPr>
          <w:rFonts w:cstheme="minorHAnsi"/>
        </w:rPr>
        <w:fldChar w:fldCharType="separate"/>
      </w:r>
      <w:r w:rsidRPr="00E87FBC">
        <w:rPr>
          <w:rFonts w:cstheme="minorHAnsi"/>
        </w:rPr>
        <w:t xml:space="preserve">Department of Social Services, </w:t>
      </w:r>
      <w:r w:rsidRPr="00E87FBC">
        <w:rPr>
          <w:rFonts w:cstheme="minorHAnsi"/>
          <w:i/>
          <w:iCs/>
        </w:rPr>
        <w:t>Australia’s Disability Strategy 2021–2031</w:t>
      </w:r>
      <w:r w:rsidRPr="00E87FBC">
        <w:rPr>
          <w:rFonts w:cstheme="minorHAnsi"/>
        </w:rPr>
        <w:t xml:space="preserve"> (Commonwealth of Australia, 2024) &lt;https://www.disabilitygateway.gov.au/document/11081&gt;.</w:t>
      </w:r>
      <w:r w:rsidRPr="00E87FBC">
        <w:rPr>
          <w:rFonts w:cstheme="minorHAnsi"/>
        </w:rPr>
        <w:fldChar w:fldCharType="end"/>
      </w:r>
      <w:r w:rsidRPr="00E87FBC" w:rsidR="006253C1">
        <w:rPr>
          <w:rFonts w:cstheme="minorHAnsi"/>
        </w:rPr>
        <w:t xml:space="preserve"> </w:t>
      </w:r>
      <w:r w:rsidRPr="00E87FBC" w:rsidR="006253C1">
        <w:rPr>
          <w:rFonts w:cstheme="minorHAnsi"/>
        </w:rPr>
        <w:t>Accessed 6 Mar 2024</w:t>
      </w:r>
      <w:r w:rsidRPr="00E87FBC" w:rsidR="004F5D7D">
        <w:rPr>
          <w:rFonts w:cstheme="minorHAnsi"/>
        </w:rPr>
        <w:t>.</w:t>
      </w:r>
    </w:p>
  </w:endnote>
  <w:endnote w:id="7">
    <w:p w:rsidRPr="00E87FBC" w:rsidR="00C4549F" w:rsidRDefault="00C4549F" w14:paraId="648C06F6" w14:textId="3A6D2EE8">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361C44">
        <w:rPr>
          <w:rFonts w:cstheme="minorHAnsi"/>
        </w:rPr>
        <w:instrText xml:space="preserve"> ADDIN ZOTERO_ITEM CSL_CITATION {"citationID":"PnwdYVQQ","properties":{"formattedCitation":"Women with Disabilities Australia (WWDA), {\\i{}Response to the Education and Learning Issues Paper of the Royal Commission into Violence, Abuse, Neglect and Exploitation of People with Disability}.","plainCitation":"Women with Disabilities Australia (WWDA), Response to the Education and Learning Issues Paper of the Royal Commission into Violence, Abuse, Neglect and Exploitation of People with Disability.","noteIndex":6},"citationItems":[{"id":44,"uris":["http://zotero.org/users/16548767/items/57XQG9R4"],"itemData":{"id":44,"type":"report","event-place":"Hobart, Tasmania","publisher":"WWDA","publisher-place":"Hobart, Tasmania","title":"Response to the Education and Learning Issues Paper of the Royal Commission into Violence, Abuse, Neglect and Exploitation of People with Disability","URL":"https://wwda.org.au/wp-content/uploads/2020/06/WWDA-Response-to-Education-and-Learning-Issues-Paper.pdf","author":[{"family":"Women with Disabilities Australia (WWDA)","given":""}],"issued":{"date-parts":[["2020",3]]}}}],"schema":"https://github.com/citation-style-language/schema/raw/master/csl-citation.json"} </w:instrText>
      </w:r>
      <w:r w:rsidRPr="00E87FBC">
        <w:rPr>
          <w:rFonts w:cstheme="minorHAnsi"/>
        </w:rPr>
        <w:fldChar w:fldCharType="separate"/>
      </w:r>
      <w:r w:rsidRPr="00E87FBC" w:rsidR="00361C44">
        <w:rPr>
          <w:rFonts w:cstheme="minorHAnsi"/>
        </w:rPr>
        <w:t xml:space="preserve">Women with Disabilities Australia (WWDA), </w:t>
      </w:r>
      <w:r w:rsidRPr="00E87FBC" w:rsidR="00361C44">
        <w:rPr>
          <w:rFonts w:cstheme="minorHAnsi"/>
          <w:i/>
          <w:iCs/>
        </w:rPr>
        <w:t>Response to the Education and Learning Issues Paper of the Royal Commission into Violence, Abuse, Neglect and Exploitation of People with Disability</w:t>
      </w:r>
      <w:r w:rsidRPr="00E87FBC" w:rsidR="00361C44">
        <w:rPr>
          <w:rFonts w:cstheme="minorHAnsi"/>
        </w:rPr>
        <w:t>.</w:t>
      </w:r>
      <w:r w:rsidRPr="00E87FBC">
        <w:rPr>
          <w:rFonts w:cstheme="minorHAnsi"/>
        </w:rPr>
        <w:fldChar w:fldCharType="end"/>
      </w:r>
    </w:p>
  </w:endnote>
  <w:endnote w:id="8">
    <w:p w:rsidRPr="00E87FBC" w:rsidR="00361C44" w:rsidRDefault="00361C44" w14:paraId="4DC88801" w14:textId="7FEB432F">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F05A33">
        <w:rPr>
          <w:rFonts w:cstheme="minorHAnsi"/>
        </w:rPr>
        <w:instrText xml:space="preserve"> ADDIN ZOTERO_ITEM CSL_CITATION {"citationID":"xp4vz0C5","properties":{"formattedCitation":"United Nations, {\\i{}Convention on the Rights of Persons with Disabilities (CRPD)}.","plainCitation":"United Nations, Convention on the Rights of Persons with Disabilities (CRPD).","noteIndex":7},"citationItems":[{"id":28,"uris":["http://zotero.org/users/16548767/items/TYP5GBFV"],"itemData":{"id":28,"type":"legislation","title":"Convention on the Rights of Persons with Disabilities (CRPD)","URL":"https://social.desa.un.org/issues/disability/crpd/convention-on-the-rights-of-persons-with-disabilities-crpd","author":[{"family":"United Nations","given":""}]}}],"schema":"https://github.com/citation-style-language/schema/raw/master/csl-citation.json"} </w:instrText>
      </w:r>
      <w:r w:rsidRPr="00E87FBC">
        <w:rPr>
          <w:rFonts w:cstheme="minorHAnsi"/>
        </w:rPr>
        <w:fldChar w:fldCharType="separate"/>
      </w:r>
      <w:r w:rsidRPr="00E87FBC" w:rsidR="00F05A33">
        <w:rPr>
          <w:rFonts w:cstheme="minorHAnsi"/>
        </w:rPr>
        <w:t xml:space="preserve">United Nations, </w:t>
      </w:r>
      <w:r w:rsidRPr="00E87FBC" w:rsidR="00F05A33">
        <w:rPr>
          <w:rFonts w:cstheme="minorHAnsi"/>
          <w:i/>
          <w:iCs/>
        </w:rPr>
        <w:t>Convention on the Rights of Persons with Disabilities (CRPD)</w:t>
      </w:r>
      <w:r w:rsidRPr="00E87FBC" w:rsidR="00F05A33">
        <w:rPr>
          <w:rFonts w:cstheme="minorHAnsi"/>
        </w:rPr>
        <w:t>.</w:t>
      </w:r>
      <w:r w:rsidRPr="00E87FBC">
        <w:rPr>
          <w:rFonts w:cstheme="minorHAnsi"/>
        </w:rPr>
        <w:fldChar w:fldCharType="end"/>
      </w:r>
    </w:p>
  </w:endnote>
  <w:endnote w:id="9">
    <w:p w:rsidRPr="00E87FBC" w:rsidR="00DA497D" w:rsidRDefault="00DA497D" w14:paraId="2597AF45" w14:textId="3EE0C578">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Pr>
          <w:rFonts w:cstheme="minorHAnsi"/>
        </w:rPr>
        <w:instrText xml:space="preserve"> ADDIN ZOTERO_ITEM CSL_CITATION {"citationID":"EmpwWZ2N","properties":{"formattedCitation":"Inclusion Australia, {\\i{}DES Reform Submission} (Inclusion Australia, February 2022), p. 38 &lt;https://www.inclusionaustralia.org.au/wp-content/uploads/2022/02/Our-Submissions_2022_02_Submission-on-Disability-Employment-System-Reform.pdf&gt;.","plainCitation":"Inclusion Australia, DES Reform Submission (Inclusion Australia, February 2022), p. 38 &lt;https://www.inclusionaustralia.org.au/wp-content/uploads/2022/02/Our-Submissions_2022_02_Submission-on-Disability-Employment-System-Reform.pdf&gt;.","noteIndex":8},"citationItems":[{"id":26,"uris":["http://zotero.org/users/16548767/items/GEDYLRQJ"],"itemData":{"id":26,"type":"report","event-place":"Victoria","publisher":"Inclusion Australia","publisher-place":"Victoria","title":"DES Reform submission","URL":"https://www.inclusionaustralia.org.au/wp-content/uploads/2022/02/Our-Submissions_2022_02_Submission-on-Disability-Employment-System-Reform.pdf","author":[{"family":"Inclusion Australia","given":""}],"issued":{"date-parts":[["2022",2]]}},"locator":"38","label":"page"}],"schema":"https://github.com/citation-style-language/schema/raw/master/csl-citation.json"} </w:instrText>
      </w:r>
      <w:r w:rsidRPr="00E87FBC">
        <w:rPr>
          <w:rFonts w:cstheme="minorHAnsi"/>
        </w:rPr>
        <w:fldChar w:fldCharType="separate"/>
      </w:r>
      <w:r w:rsidRPr="00E87FBC">
        <w:rPr>
          <w:rFonts w:cstheme="minorHAnsi"/>
        </w:rPr>
        <w:t xml:space="preserve">Inclusion Australia, </w:t>
      </w:r>
      <w:r w:rsidRPr="00E87FBC">
        <w:rPr>
          <w:rFonts w:cstheme="minorHAnsi"/>
          <w:i/>
          <w:iCs/>
        </w:rPr>
        <w:t>DES Reform Submission</w:t>
      </w:r>
      <w:r w:rsidRPr="00E87FBC">
        <w:rPr>
          <w:rFonts w:cstheme="minorHAnsi"/>
        </w:rPr>
        <w:t xml:space="preserve"> (Inclusion Australia, February 2022), p. 38 &lt;https://www.inclusionaustralia.org.au/wp-content/uploads/2022/02/Our-Submissions_2022_02_Submission-on-Disability-Employment-System-Reform.pdf&gt;.</w:t>
      </w:r>
      <w:r w:rsidRPr="00E87FBC">
        <w:rPr>
          <w:rFonts w:cstheme="minorHAnsi"/>
        </w:rPr>
        <w:fldChar w:fldCharType="end"/>
      </w:r>
      <w:r w:rsidRPr="00E87FBC" w:rsidR="004F5D7D">
        <w:rPr>
          <w:rFonts w:cstheme="minorHAnsi"/>
        </w:rPr>
        <w:t xml:space="preserve"> </w:t>
      </w:r>
      <w:r w:rsidRPr="00E87FBC" w:rsidR="004F5D7D">
        <w:rPr>
          <w:rFonts w:cstheme="minorHAnsi"/>
        </w:rPr>
        <w:t>Accessed 6 Mar 2024</w:t>
      </w:r>
      <w:r w:rsidRPr="00E87FBC" w:rsidR="004F5D7D">
        <w:rPr>
          <w:rFonts w:cstheme="minorHAnsi"/>
        </w:rPr>
        <w:t>.</w:t>
      </w:r>
    </w:p>
  </w:endnote>
  <w:endnote w:id="10">
    <w:p w:rsidRPr="00E87FBC" w:rsidR="00DA497D" w:rsidRDefault="00DA497D" w14:paraId="21713F03" w14:textId="07D4211A">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Pr>
          <w:rFonts w:cstheme="minorHAnsi"/>
        </w:rPr>
        <w:instrText xml:space="preserve"> ADDIN ZOTERO_ITEM CSL_CITATION {"citationID":"hYcmdD0y","properties":{"formattedCitation":"Inclusion Australia, {\\i{}DES Reform Submission}, p. 22.","plainCitation":"Inclusion Australia, DES Reform Submission, p. 22.","noteIndex":9},"citationItems":[{"id":26,"uris":["http://zotero.org/users/16548767/items/GEDYLRQJ"],"itemData":{"id":26,"type":"report","event-place":"Victoria","publisher":"Inclusion Australia","publisher-place":"Victoria","title":"DES Reform submission","URL":"https://www.inclusionaustralia.org.au/wp-content/uploads/2022/02/Our-Submissions_2022_02_Submission-on-Disability-Employment-System-Reform.pdf","author":[{"family":"Inclusion Australia","given":""}],"issued":{"date-parts":[["2022",2]]}},"locator":"22","label":"page"}],"schema":"https://github.com/citation-style-language/schema/raw/master/csl-citation.json"} </w:instrText>
      </w:r>
      <w:r w:rsidRPr="00E87FBC">
        <w:rPr>
          <w:rFonts w:cstheme="minorHAnsi"/>
        </w:rPr>
        <w:fldChar w:fldCharType="separate"/>
      </w:r>
      <w:r w:rsidRPr="00E87FBC">
        <w:rPr>
          <w:rFonts w:cstheme="minorHAnsi"/>
        </w:rPr>
        <w:t xml:space="preserve">Inclusion Australia, </w:t>
      </w:r>
      <w:r w:rsidRPr="00E87FBC">
        <w:rPr>
          <w:rFonts w:cstheme="minorHAnsi"/>
          <w:i/>
          <w:iCs/>
        </w:rPr>
        <w:t>DES Reform Submission</w:t>
      </w:r>
      <w:r w:rsidRPr="00E87FBC">
        <w:rPr>
          <w:rFonts w:cstheme="minorHAnsi"/>
        </w:rPr>
        <w:t>, p. 22.</w:t>
      </w:r>
      <w:r w:rsidRPr="00E87FBC">
        <w:rPr>
          <w:rFonts w:cstheme="minorHAnsi"/>
        </w:rPr>
        <w:fldChar w:fldCharType="end"/>
      </w:r>
    </w:p>
  </w:endnote>
  <w:endnote w:id="11">
    <w:p w:rsidRPr="00E87FBC" w:rsidR="00D011B0" w:rsidP="00D011B0" w:rsidRDefault="00D011B0" w14:paraId="3270D18F" w14:textId="77777777">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Pr>
          <w:rFonts w:cstheme="minorHAnsi"/>
        </w:rPr>
        <w:instrText xml:space="preserve"> ADDIN ZOTERO_ITEM CSL_CITATION {"citationID":"KuxsVDvL","properties":{"formattedCitation":"Inclusion Australia, {\\i{}DES Reform Submission}, p. 22.","plainCitation":"Inclusion Australia, DES Reform Submission, p. 22.","noteIndex":10},"citationItems":[{"id":26,"uris":["http://zotero.org/users/16548767/items/GEDYLRQJ"],"itemData":{"id":26,"type":"report","event-place":"Victoria","publisher":"Inclusion Australia","publisher-place":"Victoria","title":"DES Reform submission","URL":"https://www.inclusionaustralia.org.au/wp-content/uploads/2022/02/Our-Submissions_2022_02_Submission-on-Disability-Employment-System-Reform.pdf","author":[{"family":"Inclusion Australia","given":""}],"issued":{"date-parts":[["2022",2]]}},"locator":"22","label":"page"}],"schema":"https://github.com/citation-style-language/schema/raw/master/csl-citation.json"} </w:instrText>
      </w:r>
      <w:r w:rsidRPr="00E87FBC">
        <w:rPr>
          <w:rFonts w:cstheme="minorHAnsi"/>
        </w:rPr>
        <w:fldChar w:fldCharType="separate"/>
      </w:r>
      <w:r w:rsidRPr="00E87FBC">
        <w:rPr>
          <w:rFonts w:cstheme="minorHAnsi"/>
        </w:rPr>
        <w:t xml:space="preserve">Inclusion Australia, </w:t>
      </w:r>
      <w:r w:rsidRPr="00E87FBC">
        <w:rPr>
          <w:rFonts w:cstheme="minorHAnsi"/>
          <w:i/>
          <w:iCs/>
        </w:rPr>
        <w:t>DES Reform Submission</w:t>
      </w:r>
      <w:r w:rsidRPr="00E87FBC">
        <w:rPr>
          <w:rFonts w:cstheme="minorHAnsi"/>
        </w:rPr>
        <w:t>, p. 22.</w:t>
      </w:r>
      <w:r w:rsidRPr="00E87FBC">
        <w:rPr>
          <w:rFonts w:cstheme="minorHAnsi"/>
        </w:rPr>
        <w:fldChar w:fldCharType="end"/>
      </w:r>
    </w:p>
  </w:endnote>
  <w:endnote w:id="12">
    <w:p w:rsidRPr="00E87FBC" w:rsidR="00A9423F" w:rsidRDefault="00A9423F" w14:paraId="394A19AA" w14:textId="363291B6">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7A7123">
        <w:rPr>
          <w:rFonts w:cstheme="minorHAnsi"/>
        </w:rPr>
        <w:instrText xml:space="preserve"> ADDIN ZOTERO_ITEM CSL_CITATION {"citationID":"khBN1NUi","properties":{"formattedCitation":"Fair Work Ombudsman, \\uc0\\u8216{}Employees with Disability Pay Rates\\uc0\\u8217{} &lt;https://www.fairwork.gov.au/pay-and-wages/minimum-wages/employees-with-disability-pay-rates#:~:text=Award%20pay%20rates.-,Employees%20who%20aren't%20covered%20by%20an%20award%20or%20agreement,less%20than%20$106%20per%20week&gt;.","plainCitation":"Fair Work Ombudsman, ‘Employees with Disability Pay Rates’ &lt;https://www.fairwork.gov.au/pay-and-wages/minimum-wages/employees-with-disability-pay-rates#:~:text=Award%20pay%20rates.-,Employees%20who%20aren't%20covered%20by%20an%20award%20or%20agreement,less%20than%20$106%20per%20week&gt;.","noteIndex":11},"citationItems":[{"id":61,"uris":["http://zotero.org/users/16548767/items/6X2ALHGU"],"itemData":{"id":61,"type":"post-weblog","genre":"Australian Government","title":"Employees with disability pay rates","URL":"https://www.fairwork.gov.au/pay-and-wages/minimum-wages/employees-with-disability-pay-rates#:~:text=Award%20pay%20rates.-,Employees%20who%20aren't%20covered%20by%20an%20award%20or%20agreement,less%20than%20$106%20per%20week","author":[{"family":"Fair Work Ombudsman","given":""}]}}],"schema":"https://github.com/citation-style-language/schema/raw/master/csl-citation.json"} </w:instrText>
      </w:r>
      <w:r w:rsidRPr="00E87FBC">
        <w:rPr>
          <w:rFonts w:cstheme="minorHAnsi"/>
        </w:rPr>
        <w:fldChar w:fldCharType="separate"/>
      </w:r>
      <w:r w:rsidRPr="00E87FBC" w:rsidR="007A7123">
        <w:rPr>
          <w:rFonts w:cstheme="minorHAnsi"/>
        </w:rPr>
        <w:t xml:space="preserve">Fair Work Ombudsman, ‘Employees with Disability Pay Rates’ </w:t>
      </w:r>
      <w:r w:rsidRPr="00E87FBC" w:rsidR="00D60BFF">
        <w:rPr>
          <w:rFonts w:cstheme="minorHAnsi"/>
        </w:rPr>
        <w:t xml:space="preserve">(Australian Government, n.d.) </w:t>
      </w:r>
      <w:r w:rsidRPr="00E87FBC" w:rsidR="007A7123">
        <w:rPr>
          <w:rFonts w:cstheme="minorHAnsi"/>
        </w:rPr>
        <w:t>&lt;https://www.fairwork.gov.au/pay-and-wages/minimum-wages/employees-with-disability-pay-rates#:~:text=Award%20pay%20rates.-,Employees%20who%20aren't%20covered%20by%20an%20award%20or%20agreement,less%20than%20$106%20per%20week&gt;.</w:t>
      </w:r>
      <w:r w:rsidRPr="00E87FBC">
        <w:rPr>
          <w:rFonts w:cstheme="minorHAnsi"/>
        </w:rPr>
        <w:fldChar w:fldCharType="end"/>
      </w:r>
      <w:r w:rsidRPr="00E87FBC" w:rsidR="00D60BFF">
        <w:rPr>
          <w:rFonts w:cstheme="minorHAnsi"/>
        </w:rPr>
        <w:t xml:space="preserve"> Accessed 6 Mar 2024</w:t>
      </w:r>
    </w:p>
  </w:endnote>
  <w:endnote w:id="13">
    <w:p w:rsidRPr="00E87FBC" w:rsidR="005C79FA" w:rsidRDefault="005C79FA" w14:paraId="7D371025" w14:textId="630BFF89">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Pr>
          <w:rFonts w:cstheme="minorHAnsi"/>
        </w:rPr>
        <w:instrText xml:space="preserve"> ADDIN ZOTERO_ITEM CSL_CITATION {"citationID":"0aGC7VvD","properties":{"formattedCitation":"Inclusion Australia, {\\i{}DES Reform Submission}, p. 22.","plainCitation":"Inclusion Australia, DES Reform Submission, p. 22.","noteIndex":11},"citationItems":[{"id":26,"uris":["http://zotero.org/users/16548767/items/GEDYLRQJ"],"itemData":{"id":26,"type":"report","event-place":"Victoria","publisher":"Inclusion Australia","publisher-place":"Victoria","title":"DES Reform submission","URL":"https://www.inclusionaustralia.org.au/wp-content/uploads/2022/02/Our-Submissions_2022_02_Submission-on-Disability-Employment-System-Reform.pdf","author":[{"family":"Inclusion Australia","given":""}],"issued":{"date-parts":[["2022",2]]}},"locator":"22","label":"page"}],"schema":"https://github.com/citation-style-language/schema/raw/master/csl-citation.json"} </w:instrText>
      </w:r>
      <w:r w:rsidRPr="00E87FBC">
        <w:rPr>
          <w:rFonts w:cstheme="minorHAnsi"/>
        </w:rPr>
        <w:fldChar w:fldCharType="separate"/>
      </w:r>
      <w:r w:rsidRPr="00E87FBC">
        <w:rPr>
          <w:rFonts w:cstheme="minorHAnsi"/>
        </w:rPr>
        <w:t xml:space="preserve">Inclusion Australia, </w:t>
      </w:r>
      <w:r w:rsidRPr="00E87FBC">
        <w:rPr>
          <w:rFonts w:cstheme="minorHAnsi"/>
          <w:i/>
          <w:iCs/>
        </w:rPr>
        <w:t>DES Reform Submission</w:t>
      </w:r>
      <w:r w:rsidRPr="00E87FBC">
        <w:rPr>
          <w:rFonts w:cstheme="minorHAnsi"/>
        </w:rPr>
        <w:t>, p. 22.</w:t>
      </w:r>
      <w:r w:rsidRPr="00E87FBC">
        <w:rPr>
          <w:rFonts w:cstheme="minorHAnsi"/>
        </w:rPr>
        <w:fldChar w:fldCharType="end"/>
      </w:r>
    </w:p>
  </w:endnote>
  <w:endnote w:id="14">
    <w:p w:rsidRPr="00E87FBC" w:rsidR="00AC5EC8" w:rsidRDefault="00AC5EC8" w14:paraId="59051AFD" w14:textId="50548475">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1C5EE6">
        <w:rPr>
          <w:rFonts w:cstheme="minorHAnsi"/>
        </w:rPr>
        <w:instrText xml:space="preserve"> ADDIN ZOTERO_ITEM CSL_CITATION {"citationID":"VnhX3Od9","properties":{"formattedCitation":"United Nations, {\\i{}Convention on the Rights of Persons with Disabilities (CRPD)}.","plainCitation":"United Nations, Convention on the Rights of Persons with Disabilities (CRPD).","noteIndex":12},"citationItems":[{"id":28,"uris":["http://zotero.org/users/16548767/items/TYP5GBFV"],"itemData":{"id":28,"type":"legislation","title":"Convention on the Rights of Persons with Disabilities (CRPD)","URL":"https://social.desa.un.org/issues/disability/crpd/convention-on-the-rights-of-persons-with-disabilities-crpd","author":[{"family":"United Nations","given":""}]}}],"schema":"https://github.com/citation-style-language/schema/raw/master/csl-citation.json"} </w:instrText>
      </w:r>
      <w:r w:rsidRPr="00E87FBC">
        <w:rPr>
          <w:rFonts w:cstheme="minorHAnsi"/>
        </w:rPr>
        <w:fldChar w:fldCharType="separate"/>
      </w:r>
      <w:r w:rsidRPr="00E87FBC" w:rsidR="001C5EE6">
        <w:rPr>
          <w:rFonts w:cstheme="minorHAnsi"/>
        </w:rPr>
        <w:t xml:space="preserve">United Nations, </w:t>
      </w:r>
      <w:r w:rsidRPr="00E87FBC" w:rsidR="001C5EE6">
        <w:rPr>
          <w:rFonts w:cstheme="minorHAnsi"/>
          <w:i/>
          <w:iCs/>
        </w:rPr>
        <w:t>Convention on the Rights of Persons with Disabilities (CRPD)</w:t>
      </w:r>
      <w:r w:rsidRPr="00E87FBC" w:rsidR="001C5EE6">
        <w:rPr>
          <w:rFonts w:cstheme="minorHAnsi"/>
        </w:rPr>
        <w:t>.</w:t>
      </w:r>
      <w:r w:rsidRPr="00E87FBC">
        <w:rPr>
          <w:rFonts w:cstheme="minorHAnsi"/>
        </w:rPr>
        <w:fldChar w:fldCharType="end"/>
      </w:r>
    </w:p>
  </w:endnote>
  <w:endnote w:id="15">
    <w:p w:rsidRPr="00E87FBC" w:rsidR="00844E10" w:rsidRDefault="00844E10" w14:paraId="40DCD6C6" w14:textId="1ADE690B">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Pr>
          <w:rFonts w:cstheme="minorHAnsi"/>
        </w:rPr>
        <w:instrText xml:space="preserve"> ADDIN ZOTERO_ITEM CSL_CITATION {"citationID":"Ulkwa3cX","properties":{"formattedCitation":"Women with Disabilities Australia (WWDA), {\\i{}Response to the Education and Learning Issues Paper of the Royal Commission into Violence, Abuse, Neglect and Exploitation of People with Disability}.","plainCitation":"Women with Disabilities Australia (WWDA), Response to the Education and Learning Issues Paper of the Royal Commission into Violence, Abuse, Neglect and Exploitation of People with Disability.","noteIndex":14},"citationItems":[{"id":44,"uris":["http://zotero.org/users/16548767/items/57XQG9R4"],"itemData":{"id":44,"type":"report","event-place":"Hobart, Tasmania","publisher":"WWDA","publisher-place":"Hobart, Tasmania","title":"Response to the Education and Learning Issues Paper of the Royal Commission into Violence, Abuse, Neglect and Exploitation of People with Disability","URL":"https://wwda.org.au/wp-content/uploads/2020/06/WWDA-Response-to-Education-and-Learning-Issues-Paper.pdf","author":[{"family":"Women with Disabilities Australia (WWDA)","given":""}],"issued":{"date-parts":[["2020",3]]}}}],"schema":"https://github.com/citation-style-language/schema/raw/master/csl-citation.json"} </w:instrText>
      </w:r>
      <w:r w:rsidRPr="00E87FBC">
        <w:rPr>
          <w:rFonts w:cstheme="minorHAnsi"/>
        </w:rPr>
        <w:fldChar w:fldCharType="separate"/>
      </w:r>
      <w:r w:rsidRPr="00E87FBC">
        <w:rPr>
          <w:rFonts w:cstheme="minorHAnsi"/>
        </w:rPr>
        <w:t xml:space="preserve">Women with Disabilities Australia (WWDA), </w:t>
      </w:r>
      <w:r w:rsidRPr="00E87FBC">
        <w:rPr>
          <w:rFonts w:cstheme="minorHAnsi"/>
          <w:i/>
          <w:iCs/>
        </w:rPr>
        <w:t>Response to the Education and Learning Issues Paper of the Royal Commission into Violence, Abuse, Neglect and Exploitation of People with Disability</w:t>
      </w:r>
      <w:r w:rsidRPr="00E87FBC">
        <w:rPr>
          <w:rFonts w:cstheme="minorHAnsi"/>
        </w:rPr>
        <w:t>.</w:t>
      </w:r>
      <w:r w:rsidRPr="00E87FBC">
        <w:rPr>
          <w:rFonts w:cstheme="minorHAnsi"/>
        </w:rPr>
        <w:fldChar w:fldCharType="end"/>
      </w:r>
    </w:p>
  </w:endnote>
  <w:endnote w:id="16">
    <w:p w:rsidRPr="00E87FBC" w:rsidR="00844E10" w:rsidRDefault="00844E10" w14:paraId="2B22562F" w14:textId="04041EB0">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527EFA">
        <w:rPr>
          <w:rFonts w:cstheme="minorHAnsi"/>
        </w:rPr>
        <w:instrText xml:space="preserve"> ADDIN ZOTERO_ITEM CSL_CITATION {"citationID":"TnFj8Vmw","properties":{"formattedCitation":"United Nations, {\\i{}Convention on the Rights of Persons with Disabilities (CRPD)}.","plainCitation":"United Nations, Convention on the Rights of Persons with Disabilities (CRPD).","noteIndex":15},"citationItems":[{"id":28,"uris":["http://zotero.org/users/16548767/items/TYP5GBFV"],"itemData":{"id":28,"type":"legislation","title":"Convention on the Rights of Persons with Disabilities (CRPD)","URL":"https://social.desa.un.org/issues/disability/crpd/convention-on-the-rights-of-persons-with-disabilities-crpd","author":[{"family":"United Nations","given":""}]}}],"schema":"https://github.com/citation-style-language/schema/raw/master/csl-citation.json"} </w:instrText>
      </w:r>
      <w:r w:rsidRPr="00E87FBC">
        <w:rPr>
          <w:rFonts w:cstheme="minorHAnsi"/>
        </w:rPr>
        <w:fldChar w:fldCharType="separate"/>
      </w:r>
      <w:r w:rsidRPr="00E87FBC" w:rsidR="00527EFA">
        <w:rPr>
          <w:rFonts w:cstheme="minorHAnsi"/>
        </w:rPr>
        <w:t xml:space="preserve">United Nations, </w:t>
      </w:r>
      <w:r w:rsidRPr="00E87FBC" w:rsidR="00527EFA">
        <w:rPr>
          <w:rFonts w:cstheme="minorHAnsi"/>
          <w:i/>
          <w:iCs/>
        </w:rPr>
        <w:t>Convention on the Rights of Persons with Disabilities (CRPD)</w:t>
      </w:r>
      <w:r w:rsidRPr="00E87FBC" w:rsidR="00527EFA">
        <w:rPr>
          <w:rFonts w:cstheme="minorHAnsi"/>
        </w:rPr>
        <w:t>.</w:t>
      </w:r>
      <w:r w:rsidRPr="00E87FBC">
        <w:rPr>
          <w:rFonts w:cstheme="minorHAnsi"/>
        </w:rPr>
        <w:fldChar w:fldCharType="end"/>
      </w:r>
    </w:p>
  </w:endnote>
  <w:endnote w:id="17">
    <w:p w:rsidRPr="00E87FBC" w:rsidR="0009293F" w:rsidRDefault="0009293F" w14:paraId="11993B56" w14:textId="11CC46BF">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107021">
        <w:rPr>
          <w:rFonts w:cstheme="minorHAnsi"/>
        </w:rPr>
        <w:instrText xml:space="preserve"> ADDIN ZOTERO_ITEM CSL_CITATION {"citationID":"QMvhrJhy","properties":{"formattedCitation":"Women With Disabilities Australia (WWDA), {\\i{}Submission to the Review to Inform a Better and Fairer Education System} (WWDA, August 2023) &lt;https://www.education.gov.au/system/files/2023-12/Women%20With%20Disabilities%20Australia.pdf&gt;.","plainCitation":"Women With Disabilities Australia (WWDA), Submission to the Review to Inform a Better and Fairer Education System (WWDA, August 2023) &lt;https://www.education.gov.au/system/files/2023-12/Women%20With%20Disabilities%20Australia.pdf&gt;.","noteIndex":16},"citationItems":[{"id":53,"uris":["http://zotero.org/users/16548767/items/GQ3RWHKX"],"itemData":{"id":53,"type":"report","event-place":"Hobart, Tasmania","publisher":"WWDA","publisher-place":"Hobart, Tasmania","title":"Submission to the Review to Inform a Better and Fairer Education System","URL":"https://www.education.gov.au/system/files/2023-12/Women%20With%20Disabilities%20Australia.pdf","author":[{"family":"Women With Disabilities Australia (WWDA)","given":""}],"issued":{"date-parts":[["2023",8]]}}}],"schema":"https://github.com/citation-style-language/schema/raw/master/csl-citation.json"} </w:instrText>
      </w:r>
      <w:r w:rsidRPr="00E87FBC">
        <w:rPr>
          <w:rFonts w:cstheme="minorHAnsi"/>
        </w:rPr>
        <w:fldChar w:fldCharType="separate"/>
      </w:r>
      <w:r w:rsidRPr="00E87FBC" w:rsidR="00107021">
        <w:rPr>
          <w:rFonts w:cstheme="minorHAnsi"/>
        </w:rPr>
        <w:t xml:space="preserve">Women With Disabilities Australia (WWDA), </w:t>
      </w:r>
      <w:r w:rsidRPr="00E87FBC" w:rsidR="00107021">
        <w:rPr>
          <w:rFonts w:cstheme="minorHAnsi"/>
          <w:i/>
          <w:iCs/>
        </w:rPr>
        <w:t>Submission to the Review to Inform a Better and Fairer Education System</w:t>
      </w:r>
      <w:r w:rsidRPr="00E87FBC" w:rsidR="00107021">
        <w:rPr>
          <w:rFonts w:cstheme="minorHAnsi"/>
        </w:rPr>
        <w:t xml:space="preserve"> (WWDA, August 2023) &lt;https://www.education.gov.au/system/files/2023-12/Women%20With%20Disabilities%20Australia.pdf&gt;.</w:t>
      </w:r>
      <w:r w:rsidRPr="00E87FBC">
        <w:rPr>
          <w:rFonts w:cstheme="minorHAnsi"/>
        </w:rPr>
        <w:fldChar w:fldCharType="end"/>
      </w:r>
      <w:r w:rsidRPr="00E87FBC" w:rsidR="004F5D7D">
        <w:rPr>
          <w:rFonts w:cstheme="minorHAnsi"/>
        </w:rPr>
        <w:t xml:space="preserve"> </w:t>
      </w:r>
      <w:r w:rsidRPr="00E87FBC" w:rsidR="004F5D7D">
        <w:rPr>
          <w:rFonts w:cstheme="minorHAnsi"/>
        </w:rPr>
        <w:t>Accessed 6 Mar 2024.</w:t>
      </w:r>
    </w:p>
  </w:endnote>
  <w:endnote w:id="18">
    <w:p w:rsidRPr="00E87FBC" w:rsidR="009C5126" w:rsidRDefault="009C5126" w14:paraId="48C0F46F" w14:textId="2F3FC12B">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A669E3">
        <w:rPr>
          <w:rFonts w:cstheme="minorHAnsi"/>
        </w:rPr>
        <w:instrText xml:space="preserve"> ADDIN ZOTERO_ITEM CSL_CITATION {"citationID":"Gv8FYTYS","properties":{"formattedCitation":"Women with Disabilities Australia (WWDA), {\\i{}Final Report for the Disability Employment Services (DES) Consumer Engagement Project}.","plainCitation":"Women with Disabilities Australia (WWDA), Final Report for the Disability Employment Services (DES) Consumer Engagement Project.","noteIndex":18},"citationItems":[{"id":46,"uris":["http://zotero.org/users/16548767/items/DUDGVJNK"],"itemData":{"id":46,"type":"report","event-place":"Hobart, Tasmania","publisher":"WWDA","publisher-place":"Hobart, Tasmania","title":"Final Report for the Disability Employment Services (DES) Consumer Engagement Project","URL":"https://wwda.org.au/wp-content/uploads/2014/10/WWDA_DES_Report_Final.pdf","author":[{"family":"Women with Disabilities Australia (WWDA)","given":""}],"issued":{"date-parts":[["2014",8]]}}}],"schema":"https://github.com/citation-style-language/schema/raw/master/csl-citation.json"} </w:instrText>
      </w:r>
      <w:r w:rsidRPr="00E87FBC">
        <w:rPr>
          <w:rFonts w:cstheme="minorHAnsi"/>
        </w:rPr>
        <w:fldChar w:fldCharType="separate"/>
      </w:r>
      <w:r w:rsidRPr="00E87FBC" w:rsidR="00A669E3">
        <w:rPr>
          <w:rFonts w:cstheme="minorHAnsi"/>
        </w:rPr>
        <w:t xml:space="preserve">Women with Disabilities Australia (WWDA), </w:t>
      </w:r>
      <w:r w:rsidRPr="00E87FBC" w:rsidR="00A669E3">
        <w:rPr>
          <w:rFonts w:cstheme="minorHAnsi"/>
          <w:i/>
          <w:iCs/>
        </w:rPr>
        <w:t>Final Report for the Disability Employment Services (DES) Consumer Engagement Project</w:t>
      </w:r>
      <w:r w:rsidRPr="00E87FBC" w:rsidR="00A669E3">
        <w:rPr>
          <w:rFonts w:cstheme="minorHAnsi"/>
        </w:rPr>
        <w:t>.</w:t>
      </w:r>
      <w:r w:rsidRPr="00E87FBC">
        <w:rPr>
          <w:rFonts w:cstheme="minorHAnsi"/>
        </w:rPr>
        <w:fldChar w:fldCharType="end"/>
      </w:r>
    </w:p>
  </w:endnote>
  <w:endnote w:id="19">
    <w:p w:rsidRPr="00E87FBC" w:rsidR="006830AD" w:rsidP="006830AD" w:rsidRDefault="006830AD" w14:paraId="3A4E5C49" w14:textId="734BD1FC">
      <w:pPr>
        <w:pStyle w:val="EndnoteText"/>
        <w:rPr>
          <w:rFonts w:cstheme="minorHAnsi"/>
        </w:rPr>
      </w:pPr>
      <w:r w:rsidRPr="00E87FBC">
        <w:rPr>
          <w:rStyle w:val="EndnoteReference"/>
          <w:rFonts w:cstheme="minorHAnsi"/>
        </w:rPr>
        <w:endnoteRef/>
      </w:r>
      <w:r w:rsidRPr="00E87FBC">
        <w:rPr>
          <w:rFonts w:cstheme="minorHAnsi"/>
        </w:rPr>
        <w:t xml:space="preserve"> The </w:t>
      </w:r>
      <w:hyperlink w:history="1" r:id="rId1">
        <w:r w:rsidRPr="00E87FBC">
          <w:rPr>
            <w:rStyle w:val="Hyperlink"/>
            <w:rFonts w:cstheme="minorHAnsi"/>
          </w:rPr>
          <w:t>Supported Wage System</w:t>
        </w:r>
      </w:hyperlink>
      <w:r w:rsidRPr="00E87FBC">
        <w:rPr>
          <w:rFonts w:cstheme="minorHAnsi"/>
        </w:rPr>
        <w:t xml:space="preserve"> is a process that allows employers to pay a productivity-based wage for people with disability that matches an independently assessed productivity rate.</w:t>
      </w:r>
    </w:p>
  </w:endnote>
  <w:endnote w:id="20">
    <w:p w:rsidRPr="00E87FBC" w:rsidR="00247FB4" w:rsidRDefault="00247FB4" w14:paraId="6A857A98" w14:textId="457311E5">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DD0162">
        <w:rPr>
          <w:rFonts w:cstheme="minorHAnsi"/>
        </w:rPr>
        <w:instrText xml:space="preserve"> ADDIN ZOTERO_ITEM CSL_CITATION {"citationID":"ARqFhU9j","properties":{"formattedCitation":"Women with Disabilities Australia (WWDA), {\\i{}Response to the Education and Learning Issues Paper of the Royal Commission into Violence, Abuse, Neglect and Exploitation of People with Disability}, p. 23.","plainCitation":"Women with Disabilities Australia (WWDA), Response to the Education and Learning Issues Paper of the Royal Commission into Violence, Abuse, Neglect and Exploitation of People with Disability, p. 23.","noteIndex":19},"citationItems":[{"id":44,"uris":["http://zotero.org/users/16548767/items/57XQG9R4"],"itemData":{"id":44,"type":"report","event-place":"Hobart, Tasmania","publisher":"WWDA","publisher-place":"Hobart, Tasmania","title":"Response to the Education and Learning Issues Paper of the Royal Commission into Violence, Abuse, Neglect and Exploitation of People with Disability","URL":"https://wwda.org.au/wp-content/uploads/2020/06/WWDA-Response-to-Education-and-Learning-Issues-Paper.pdf","author":[{"family":"Women with Disabilities Australia (WWDA)","given":""}],"issued":{"date-parts":[["2020",3]]}},"locator":"23","label":"page"}],"schema":"https://github.com/citation-style-language/schema/raw/master/csl-citation.json"} </w:instrText>
      </w:r>
      <w:r w:rsidRPr="00E87FBC">
        <w:rPr>
          <w:rFonts w:cstheme="minorHAnsi"/>
        </w:rPr>
        <w:fldChar w:fldCharType="separate"/>
      </w:r>
      <w:r w:rsidRPr="00E87FBC" w:rsidR="005F7530">
        <w:rPr>
          <w:rFonts w:cstheme="minorHAnsi"/>
        </w:rPr>
        <w:t xml:space="preserve">Women with Disabilities Australia (WWDA), </w:t>
      </w:r>
      <w:r w:rsidRPr="00E87FBC" w:rsidR="005F7530">
        <w:rPr>
          <w:rFonts w:cstheme="minorHAnsi"/>
          <w:i/>
          <w:iCs/>
        </w:rPr>
        <w:t>Response to the Education and Learning Issues Paper of the Royal Commission into Violence, Abuse, Neglect and Exploitation of People with Disability</w:t>
      </w:r>
      <w:r w:rsidRPr="00E87FBC" w:rsidR="005F7530">
        <w:rPr>
          <w:rFonts w:cstheme="minorHAnsi"/>
        </w:rPr>
        <w:t>, p. 23.</w:t>
      </w:r>
      <w:r w:rsidRPr="00E87FBC">
        <w:rPr>
          <w:rFonts w:cstheme="minorHAnsi"/>
        </w:rPr>
        <w:fldChar w:fldCharType="end"/>
      </w:r>
    </w:p>
  </w:endnote>
  <w:endnote w:id="21">
    <w:p w:rsidRPr="00E87FBC" w:rsidR="00611932" w:rsidRDefault="00611932" w14:paraId="6BF85DEC" w14:textId="19BF7C61">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844E10">
        <w:rPr>
          <w:rFonts w:cstheme="minorHAnsi"/>
        </w:rPr>
        <w:instrText xml:space="preserve"> ADDIN ZOTERO_ITEM CSL_CITATION {"citationID":"iQhrDLvI","properties":{"formattedCitation":"Independent Review into the National Disability Insurance Scheme, {\\i{}Working Together to Deliver the NDIS- Supporting Analysis} (Commonwealth of Australia, 2023), p. 69 &lt;https://www.ndisreview.gov.au/resources/reports/working-together-deliver-ndis-supporting-analysis&gt;.","plainCitation":"Independent Review into the National Disability Insurance Scheme, Working Together to Deliver the NDIS- Supporting Analysis (Commonwealth of Australia, 2023), p. 69 &lt;https://www.ndisreview.gov.au/resources/reports/working-together-deliver-ndis-supporting-analysis&gt;.","noteIndex":20},"citationItems":[{"id":22,"uris":["http://zotero.org/users/16548767/items/FRG82M39"],"itemData":{"id":22,"type":"report","event-place":"Canberra","publisher":"Commonwealth of Australia","publisher-place":"Canberra","title":"Working together to deliver the NDIS- Supporting analysis","URL":"https://www.ndisreview.gov.au/resources/reports/working-together-deliver-ndis-supporting-analysis","author":[{"family":"Independent Review into the National Disability Insurance Scheme","given":""}],"issued":{"date-parts":[["2023"]]}},"locator":"69","label":"page"}],"schema":"https://github.com/citation-style-language/schema/raw/master/csl-citation.json"} </w:instrText>
      </w:r>
      <w:r w:rsidRPr="00E87FBC">
        <w:rPr>
          <w:rFonts w:cstheme="minorHAnsi"/>
        </w:rPr>
        <w:fldChar w:fldCharType="separate"/>
      </w:r>
      <w:r w:rsidRPr="00E87FBC">
        <w:rPr>
          <w:rFonts w:cstheme="minorHAnsi"/>
        </w:rPr>
        <w:t xml:space="preserve">Independent Review into the National Disability Insurance Scheme, </w:t>
      </w:r>
      <w:r w:rsidRPr="00E87FBC">
        <w:rPr>
          <w:rFonts w:cstheme="minorHAnsi"/>
          <w:i/>
          <w:iCs/>
        </w:rPr>
        <w:t>Working Together to Deliver the NDIS- Supporting Analysis</w:t>
      </w:r>
      <w:r w:rsidRPr="00E87FBC">
        <w:rPr>
          <w:rFonts w:cstheme="minorHAnsi"/>
        </w:rPr>
        <w:t xml:space="preserve"> (Commonwealth of Australia, 2023), p. 69 &lt;https://www.ndisreview.gov.au/resources/reports/working-together-deliver-ndis-supporting-analysis&gt;.</w:t>
      </w:r>
      <w:r w:rsidRPr="00E87FBC">
        <w:rPr>
          <w:rFonts w:cstheme="minorHAnsi"/>
        </w:rPr>
        <w:fldChar w:fldCharType="end"/>
      </w:r>
      <w:r w:rsidRPr="00E87FBC" w:rsidR="008D6AF0">
        <w:rPr>
          <w:rFonts w:cstheme="minorHAnsi"/>
        </w:rPr>
        <w:t xml:space="preserve"> </w:t>
      </w:r>
      <w:r w:rsidRPr="00E87FBC" w:rsidR="008D6AF0">
        <w:rPr>
          <w:rFonts w:cstheme="minorHAnsi"/>
        </w:rPr>
        <w:t>Accessed 6 Mar 2024.</w:t>
      </w:r>
    </w:p>
  </w:endnote>
  <w:endnote w:id="22">
    <w:p w:rsidRPr="00E87FBC" w:rsidR="00962209" w:rsidRDefault="00962209" w14:paraId="0C4CC46C" w14:textId="193841E3">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952D8A">
        <w:rPr>
          <w:rFonts w:cstheme="minorHAnsi"/>
        </w:rPr>
        <w:instrText xml:space="preserve"> ADDIN ZOTERO_ITEM CSL_CITATION {"citationID":"zJ8bA9Wd","properties":{"formattedCitation":"Tomoya Obokata, {\\i{}United Nations Special Rapporteur on Contemporary Forms of Slavery, Including Its Causes and Consequences} (United Nations, 27 November 2024) &lt;https://www.ohchr.org/sites/default/files/documents/issues/slavery/sr/statements/2024-11-27-eom-australia-sr-slavery-en.pdf&gt;.","plainCitation":"Tomoya Obokata, United Nations Special Rapporteur on Contemporary Forms of Slavery, Including Its Causes and Consequences (United Nations, 27 November 2024) &lt;https://www.ohchr.org/sites/default/files/documents/issues/slavery/sr/statements/2024-11-27-eom-australia-sr-slavery-en.pdf&gt;.","noteIndex":21},"citationItems":[{"id":63,"uris":["http://zotero.org/users/16548767/items/TTAZNZAI"],"itemData":{"id":63,"type":"report","event-place":"Country visit to Australia","publisher":"United Nations","publisher-place":"Country visit to Australia","title":"United Nations Special Rapporteur on contemporary forms of slavery, including its causes and consequences","URL":"https://www.ohchr.org/sites/default/files/documents/issues/slavery/sr/statements/2024-11-27-eom-australia-sr-slavery-en.pdf","author":[{"family":"Obokata","given":"Tomoya"}],"issued":{"date-parts":[["2024",11,27]]}}}],"schema":"https://github.com/citation-style-language/schema/raw/master/csl-citation.json"} </w:instrText>
      </w:r>
      <w:r w:rsidRPr="00E87FBC">
        <w:rPr>
          <w:rFonts w:cstheme="minorHAnsi"/>
        </w:rPr>
        <w:fldChar w:fldCharType="separate"/>
      </w:r>
      <w:r w:rsidRPr="00E87FBC" w:rsidR="00952D8A">
        <w:rPr>
          <w:rFonts w:cstheme="minorHAnsi"/>
        </w:rPr>
        <w:t xml:space="preserve">Tomoya Obokata, </w:t>
      </w:r>
      <w:r w:rsidRPr="00E87FBC" w:rsidR="00952D8A">
        <w:rPr>
          <w:rFonts w:cstheme="minorHAnsi"/>
          <w:i/>
          <w:iCs/>
        </w:rPr>
        <w:t>United Nations Special Rapporteur on Contemporary Forms of Slavery, Including Its Causes and Consequences</w:t>
      </w:r>
      <w:r w:rsidRPr="00E87FBC" w:rsidR="00952D8A">
        <w:rPr>
          <w:rFonts w:cstheme="minorHAnsi"/>
        </w:rPr>
        <w:t xml:space="preserve"> (United Nations, 27 November 2024) &lt;https://www.ohchr.org/sites/default/files/documents/issues/slavery/sr/statements/2024-11-27-eom-australia-sr-slavery-en.pdf&gt;.</w:t>
      </w:r>
      <w:r w:rsidRPr="00E87FBC">
        <w:rPr>
          <w:rFonts w:cstheme="minorHAnsi"/>
        </w:rPr>
        <w:fldChar w:fldCharType="end"/>
      </w:r>
      <w:r w:rsidRPr="00E87FBC" w:rsidR="008D6AF0">
        <w:rPr>
          <w:rFonts w:cstheme="minorHAnsi"/>
        </w:rPr>
        <w:t xml:space="preserve"> </w:t>
      </w:r>
      <w:r w:rsidRPr="00E87FBC" w:rsidR="008D6AF0">
        <w:rPr>
          <w:rFonts w:cstheme="minorHAnsi"/>
        </w:rPr>
        <w:t>Accessed 6 Mar 2024.</w:t>
      </w:r>
    </w:p>
  </w:endnote>
  <w:endnote w:id="23">
    <w:p w:rsidRPr="00E87FBC" w:rsidR="0035732A" w:rsidRDefault="0035732A" w14:paraId="7BFA4B5D" w14:textId="42F655BC">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844E10">
        <w:rPr>
          <w:rFonts w:cstheme="minorHAnsi"/>
        </w:rPr>
        <w:instrText xml:space="preserve"> ADDIN ZOTERO_ITEM CSL_CITATION {"citationID":"m0k8vaz2","properties":{"formattedCitation":"Independent Review into the National Disability Insurance Scheme, {\\i{}Working Together to Deliver the NDIS- Supporting Analysis}, p. 69.","plainCitation":"Independent Review into the National Disability Insurance Scheme, Working Together to Deliver the NDIS- Supporting Analysis, p. 69.","noteIndex":21},"citationItems":[{"id":22,"uris":["http://zotero.org/users/16548767/items/FRG82M39"],"itemData":{"id":22,"type":"report","event-place":"Canberra","publisher":"Commonwealth of Australia","publisher-place":"Canberra","title":"Working together to deliver the NDIS- Supporting analysis","URL":"https://www.ndisreview.gov.au/resources/reports/working-together-deliver-ndis-supporting-analysis","author":[{"family":"Independent Review into the National Disability Insurance Scheme","given":""}],"issued":{"date-parts":[["2023"]]}},"locator":"69","label":"page"}],"schema":"https://github.com/citation-style-language/schema/raw/master/csl-citation.json"} </w:instrText>
      </w:r>
      <w:r w:rsidRPr="00E87FBC">
        <w:rPr>
          <w:rFonts w:cstheme="minorHAnsi"/>
        </w:rPr>
        <w:fldChar w:fldCharType="separate"/>
      </w:r>
      <w:r w:rsidRPr="00E87FBC">
        <w:rPr>
          <w:rFonts w:cstheme="minorHAnsi"/>
        </w:rPr>
        <w:t xml:space="preserve">Independent Review into the National Disability Insurance Scheme, </w:t>
      </w:r>
      <w:r w:rsidRPr="00E87FBC">
        <w:rPr>
          <w:rFonts w:cstheme="minorHAnsi"/>
          <w:i/>
          <w:iCs/>
        </w:rPr>
        <w:t>Working Together to Deliver the NDIS- Supporting Analysis</w:t>
      </w:r>
      <w:r w:rsidRPr="00E87FBC">
        <w:rPr>
          <w:rFonts w:cstheme="minorHAnsi"/>
        </w:rPr>
        <w:t>, p. 69.</w:t>
      </w:r>
      <w:r w:rsidRPr="00E87FBC">
        <w:rPr>
          <w:rFonts w:cstheme="minorHAnsi"/>
        </w:rPr>
        <w:fldChar w:fldCharType="end"/>
      </w:r>
    </w:p>
  </w:endnote>
  <w:endnote w:id="24">
    <w:p w:rsidRPr="00E87FBC" w:rsidR="00B572A2" w:rsidRDefault="00B572A2" w14:paraId="0A590ED9" w14:textId="6B557ED8">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lang w:val="en-AU"/>
        </w:rPr>
        <w:t xml:space="preserve">National Centre for Vocational Education Research. </w:t>
      </w:r>
      <w:proofErr w:type="spellStart"/>
      <w:r w:rsidRPr="00423C78">
        <w:rPr>
          <w:rFonts w:cstheme="minorHAnsi"/>
          <w:i/>
          <w:iCs/>
          <w:lang w:val="en-AU"/>
        </w:rPr>
        <w:t>DataBuilder</w:t>
      </w:r>
      <w:proofErr w:type="spellEnd"/>
      <w:r w:rsidRPr="00E87FBC">
        <w:rPr>
          <w:rFonts w:cstheme="minorHAnsi"/>
          <w:lang w:val="en-AU"/>
        </w:rPr>
        <w:t xml:space="preserve"> </w:t>
      </w:r>
      <w:r w:rsidR="002A37DE">
        <w:rPr>
          <w:rFonts w:cstheme="minorHAnsi"/>
          <w:lang w:val="en-AU"/>
        </w:rPr>
        <w:t>(</w:t>
      </w:r>
      <w:r w:rsidRPr="00E87FBC">
        <w:rPr>
          <w:rFonts w:cstheme="minorHAnsi"/>
          <w:lang w:val="en-AU"/>
        </w:rPr>
        <w:t>VET Statistics in Australia</w:t>
      </w:r>
      <w:r w:rsidR="002A37DE">
        <w:rPr>
          <w:rFonts w:cstheme="minorHAnsi"/>
          <w:lang w:val="en-AU"/>
        </w:rPr>
        <w:t xml:space="preserve">, </w:t>
      </w:r>
      <w:r w:rsidRPr="00E87FBC" w:rsidR="002A37DE">
        <w:rPr>
          <w:rFonts w:cstheme="minorHAnsi"/>
          <w:lang w:val="en-AU"/>
        </w:rPr>
        <w:t>2023</w:t>
      </w:r>
      <w:r w:rsidR="002A37DE">
        <w:rPr>
          <w:rFonts w:cstheme="minorHAnsi"/>
          <w:lang w:val="en-AU"/>
        </w:rPr>
        <w:t>)</w:t>
      </w:r>
      <w:r w:rsidRPr="00E87FBC">
        <w:rPr>
          <w:rFonts w:cstheme="minorHAnsi"/>
          <w:lang w:val="en-AU"/>
        </w:rPr>
        <w:t xml:space="preserve">. </w:t>
      </w:r>
      <w:hyperlink w:history="1" r:id="rId2">
        <w:r w:rsidRPr="00E87FBC">
          <w:rPr>
            <w:rStyle w:val="Hyperlink"/>
            <w:rFonts w:cstheme="minorHAnsi"/>
            <w:lang w:val="en-AU"/>
          </w:rPr>
          <w:t>https://www.ncver.edu.au/research-and-statistics/data/databuilder</w:t>
        </w:r>
      </w:hyperlink>
      <w:r w:rsidRPr="00E87FBC">
        <w:rPr>
          <w:rFonts w:cstheme="minorHAnsi"/>
          <w:lang w:val="en-AU"/>
        </w:rPr>
        <w:t xml:space="preserve">.  </w:t>
      </w:r>
      <w:r w:rsidR="002A37DE">
        <w:rPr>
          <w:rFonts w:cstheme="minorHAnsi"/>
          <w:lang w:val="en-AU"/>
        </w:rPr>
        <w:t>A</w:t>
      </w:r>
      <w:r w:rsidRPr="00E87FBC" w:rsidR="002A37DE">
        <w:rPr>
          <w:rFonts w:cstheme="minorHAnsi"/>
          <w:lang w:val="en-AU"/>
        </w:rPr>
        <w:t>ccessed June 2023</w:t>
      </w:r>
      <w:r w:rsidR="00423C78">
        <w:rPr>
          <w:rFonts w:cstheme="minorHAnsi"/>
          <w:lang w:val="en-AU"/>
        </w:rPr>
        <w:t xml:space="preserve">. </w:t>
      </w:r>
    </w:p>
  </w:endnote>
  <w:endnote w:id="25">
    <w:p w:rsidRPr="00E87FBC" w:rsidR="005F7530" w:rsidRDefault="005F7530" w14:paraId="4AEBD976" w14:textId="0B0CA762">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DD0162">
        <w:rPr>
          <w:rFonts w:cstheme="minorHAnsi"/>
        </w:rPr>
        <w:instrText xml:space="preserve"> ADDIN ZOTERO_ITEM CSL_CITATION {"citationID":"jq4zdsRg","properties":{"formattedCitation":"Department of Social Services, {\\i{}Australia\\uc0\\u8217{}s Disability Strategy 2021\\uc0\\u8211{}2031}.","plainCitation":"Department of Social Services, Australia’s Disability Strategy 2021–2031.","noteIndex":22},"citationItems":[{"id":50,"uris":["http://zotero.org/users/16548767/items/H3HZVNWW"],"itemData":{"id":50,"type":"report","publisher":"Commonwealth of Australia","title":"Australia’s Disability Strategy 2021–2031","URL":"https://www.disabilitygateway.gov.au/document/11081","author":[{"family":"Department of Social Services","given":""}],"issued":{"date-parts":[["2024"]]}}}],"schema":"https://github.com/citation-style-language/schema/raw/master/csl-citation.json"} </w:instrText>
      </w:r>
      <w:r w:rsidRPr="00E87FBC">
        <w:rPr>
          <w:rFonts w:cstheme="minorHAnsi"/>
        </w:rPr>
        <w:fldChar w:fldCharType="separate"/>
      </w:r>
      <w:r w:rsidRPr="00E87FBC" w:rsidR="00DD0162">
        <w:rPr>
          <w:rFonts w:cstheme="minorHAnsi"/>
        </w:rPr>
        <w:t xml:space="preserve">Department of Social Services, </w:t>
      </w:r>
      <w:r w:rsidRPr="00E87FBC" w:rsidR="00DD0162">
        <w:rPr>
          <w:rFonts w:cstheme="minorHAnsi"/>
          <w:i/>
          <w:iCs/>
        </w:rPr>
        <w:t>Australia’s Disability Strategy 2021–2031</w:t>
      </w:r>
      <w:r w:rsidRPr="00E87FBC" w:rsidR="00DD0162">
        <w:rPr>
          <w:rFonts w:cstheme="minorHAnsi"/>
        </w:rPr>
        <w:t>.</w:t>
      </w:r>
      <w:r w:rsidRPr="00E87FBC">
        <w:rPr>
          <w:rFonts w:cstheme="minorHAnsi"/>
        </w:rPr>
        <w:fldChar w:fldCharType="end"/>
      </w:r>
    </w:p>
  </w:endnote>
  <w:endnote w:id="26">
    <w:p w:rsidRPr="00E87FBC" w:rsidR="00B142C0" w:rsidP="00B142C0" w:rsidRDefault="00B142C0" w14:paraId="161E0EB0" w14:textId="0C27D9B9">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844E10">
        <w:rPr>
          <w:rFonts w:cstheme="minorHAnsi"/>
        </w:rPr>
        <w:instrText xml:space="preserve"> ADDIN ZOTERO_ITEM CSL_CITATION {"citationID":"gNkdMpif","properties":{"formattedCitation":"United Nations, {\\i{}Concluding Observations on the Combined Second and Third Periodic Reports of Australia} (Committee on the Rights of Persons with Disabilities, 15 October 2019), p. 14 &lt;https://tbinternet.ohchr.org/_layouts/15/treatybodyexternal/Download.aspx?symbolno=CRPD%2fC%2fAUS%2fCO%2f2-3&amp;Lang=en&gt;.","plainCitation":"United Nations, Concluding Observations on the Combined Second and Third Periodic Reports of Australia (Committee on the Rights of Persons with Disabilities, 15 October 2019), p. 14 &lt;https://tbinternet.ohchr.org/_layouts/15/treatybodyexternal/Download.aspx?symbolno=CRPD%2fC%2fAUS%2fCO%2f2-3&amp;Lang=en&gt;.","noteIndex":23},"citationItems":[{"id":30,"uris":["http://zotero.org/users/16548767/items/J8WQL7M8"],"itemData":{"id":30,"type":"report","publisher":"Committee on the Rights of Persons with Disabilities","title":"Concluding observations on the combined second and third periodic reports of Australia","URL":"https://tbinternet.ohchr.org/_layouts/15/treatybodyexternal/Download.aspx?symbolno=CRPD%2fC%2fAUS%2fCO%2f2-3&amp;Lang=en","author":[{"family":"United Nations","given":""}],"issued":{"date-parts":[["2019",10,15]]}},"locator":"14","label":"page"}],"schema":"https://github.com/citation-style-language/schema/raw/master/csl-citation.json"} </w:instrText>
      </w:r>
      <w:r w:rsidRPr="00E87FBC">
        <w:rPr>
          <w:rFonts w:cstheme="minorHAnsi"/>
        </w:rPr>
        <w:fldChar w:fldCharType="separate"/>
      </w:r>
      <w:r w:rsidRPr="00E87FBC">
        <w:rPr>
          <w:rFonts w:cstheme="minorHAnsi"/>
        </w:rPr>
        <w:t xml:space="preserve">United Nations, </w:t>
      </w:r>
      <w:r w:rsidRPr="00E87FBC">
        <w:rPr>
          <w:rFonts w:cstheme="minorHAnsi"/>
          <w:i/>
          <w:iCs/>
        </w:rPr>
        <w:t>Concluding Observations on the Combined Second and Third Periodic Reports of Australia</w:t>
      </w:r>
      <w:r w:rsidRPr="00E87FBC">
        <w:rPr>
          <w:rFonts w:cstheme="minorHAnsi"/>
        </w:rPr>
        <w:t xml:space="preserve"> (Committee on the Rights of Persons with Disabilities, 15 October 2019), p. 14 &lt;https://tbinternet.ohchr.org/_layouts/15/treatybodyexternal/Download.aspx?symbolno=CRPD%2fC%2fAUS%2fCO%2f2-3&amp;Lang=en&gt;.</w:t>
      </w:r>
      <w:r w:rsidRPr="00E87FBC">
        <w:rPr>
          <w:rFonts w:cstheme="minorHAnsi"/>
        </w:rPr>
        <w:fldChar w:fldCharType="end"/>
      </w:r>
      <w:r w:rsidRPr="00E87FBC" w:rsidR="008D6AF0">
        <w:rPr>
          <w:rFonts w:cstheme="minorHAnsi"/>
        </w:rPr>
        <w:t xml:space="preserve"> </w:t>
      </w:r>
      <w:r w:rsidRPr="00E87FBC" w:rsidR="008D6AF0">
        <w:rPr>
          <w:rFonts w:cstheme="minorHAnsi"/>
        </w:rPr>
        <w:t>Accessed 6 Mar 2024.</w:t>
      </w:r>
    </w:p>
  </w:endnote>
  <w:endnote w:id="27">
    <w:p w:rsidRPr="00E87FBC" w:rsidR="00B142C0" w:rsidP="00B142C0" w:rsidRDefault="00B142C0" w14:paraId="1A26375A" w14:textId="6CD9DEFA">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844E10">
        <w:rPr>
          <w:rFonts w:cstheme="minorHAnsi"/>
        </w:rPr>
        <w:instrText xml:space="preserve"> ADDIN ZOTERO_ITEM CSL_CITATION {"citationID":"lyeMj5Qm","properties":{"formattedCitation":"United Nations, {\\i{}Concluding Observations on the Combined Second and Third Periodic Reports of Australia}, p. 14.","plainCitation":"United Nations, Concluding Observations on the Combined Second and Third Periodic Reports of Australia, p. 14.","noteIndex":24},"citationItems":[{"id":30,"uris":["http://zotero.org/users/16548767/items/J8WQL7M8"],"itemData":{"id":30,"type":"report","publisher":"Committee on the Rights of Persons with Disabilities","title":"Concluding observations on the combined second and third periodic reports of Australia","URL":"https://tbinternet.ohchr.org/_layouts/15/treatybodyexternal/Download.aspx?symbolno=CRPD%2fC%2fAUS%2fCO%2f2-3&amp;Lang=en","author":[{"family":"United Nations","given":""}],"issued":{"date-parts":[["2019",10,15]]}},"locator":"14","label":"page"}],"schema":"https://github.com/citation-style-language/schema/raw/master/csl-citation.json"} </w:instrText>
      </w:r>
      <w:r w:rsidRPr="00E87FBC">
        <w:rPr>
          <w:rFonts w:cstheme="minorHAnsi"/>
        </w:rPr>
        <w:fldChar w:fldCharType="separate"/>
      </w:r>
      <w:r w:rsidRPr="00E87FBC">
        <w:rPr>
          <w:rFonts w:cstheme="minorHAnsi"/>
        </w:rPr>
        <w:t xml:space="preserve">United Nations, </w:t>
      </w:r>
      <w:r w:rsidRPr="00E87FBC">
        <w:rPr>
          <w:rFonts w:cstheme="minorHAnsi"/>
          <w:i/>
          <w:iCs/>
        </w:rPr>
        <w:t>Concluding Observations on the Combined Second and Third Periodic Reports of Australia</w:t>
      </w:r>
      <w:r w:rsidRPr="00E87FBC">
        <w:rPr>
          <w:rFonts w:cstheme="minorHAnsi"/>
        </w:rPr>
        <w:t>, p. 14.</w:t>
      </w:r>
      <w:r w:rsidRPr="00E87FBC">
        <w:rPr>
          <w:rFonts w:cstheme="minorHAnsi"/>
        </w:rPr>
        <w:fldChar w:fldCharType="end"/>
      </w:r>
    </w:p>
  </w:endnote>
  <w:endnote w:id="28">
    <w:p w:rsidRPr="00E87FBC" w:rsidR="00312B06" w:rsidRDefault="00312B06" w14:paraId="27474DC1" w14:textId="2198F1CC">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A669E3">
        <w:rPr>
          <w:rFonts w:cstheme="minorHAnsi"/>
        </w:rPr>
        <w:instrText xml:space="preserve"> ADDIN ZOTERO_ITEM CSL_CITATION {"citationID":"lCGTPYSd","properties":{"formattedCitation":"United Nations, {\\i{}Convention on the Rights of Persons with Disabilities (CRPD)}.","plainCitation":"United Nations, Convention on the Rights of Persons with Disabilities (CRPD).","noteIndex":26},"citationItems":[{"id":28,"uris":["http://zotero.org/users/16548767/items/TYP5GBFV"],"itemData":{"id":28,"type":"legislation","title":"Convention on the Rights of Persons with Disabilities (CRPD)","URL":"https://social.desa.un.org/issues/disability/crpd/convention-on-the-rights-of-persons-with-disabilities-crpd","author":[{"family":"United Nations","given":""}]}}],"schema":"https://github.com/citation-style-language/schema/raw/master/csl-citation.json"} </w:instrText>
      </w:r>
      <w:r w:rsidRPr="00E87FBC">
        <w:rPr>
          <w:rFonts w:cstheme="minorHAnsi"/>
        </w:rPr>
        <w:fldChar w:fldCharType="separate"/>
      </w:r>
      <w:r w:rsidRPr="00E87FBC" w:rsidR="00AC5EC8">
        <w:rPr>
          <w:rFonts w:cstheme="minorHAnsi"/>
        </w:rPr>
        <w:t xml:space="preserve">United Nations, </w:t>
      </w:r>
      <w:r w:rsidRPr="00E87FBC" w:rsidR="00AC5EC8">
        <w:rPr>
          <w:rFonts w:cstheme="minorHAnsi"/>
          <w:i/>
          <w:iCs/>
        </w:rPr>
        <w:t>Convention on the Rights of Persons with Disabilities (CRPD)</w:t>
      </w:r>
      <w:r w:rsidRPr="00E87FBC" w:rsidR="00AC5EC8">
        <w:rPr>
          <w:rFonts w:cstheme="minorHAnsi"/>
        </w:rPr>
        <w:t>.</w:t>
      </w:r>
      <w:r w:rsidRPr="00E87FBC">
        <w:rPr>
          <w:rFonts w:cstheme="minorHAnsi"/>
        </w:rPr>
        <w:fldChar w:fldCharType="end"/>
      </w:r>
    </w:p>
  </w:endnote>
  <w:endnote w:id="29">
    <w:p w:rsidRPr="00E87FBC" w:rsidR="004604D3" w:rsidRDefault="004604D3" w14:paraId="50ED61B7" w14:textId="57EF1624">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FF04A3">
        <w:rPr>
          <w:rFonts w:cstheme="minorHAnsi"/>
        </w:rPr>
        <w:instrText xml:space="preserve"> ADDIN ZOTERO_ITEM CSL_CITATION {"citationID":"b9jYKiVn","properties":{"formattedCitation":"Department of Education, {\\i{}Australian Universities Accord Final Report} (Commonwealth of Australia, 25 February 2024) &lt;https://www.education.gov.au/australian-universities-accord/resources/final-report&gt;.","plainCitation":"Department of Education, Australian Universities Accord Final Report (Commonwealth of Australia, 25 February 2024) &lt;https://www.education.gov.au/australian-universities-accord/resources/final-report&gt;.","noteIndex":29},"citationItems":[{"id":55,"uris":["http://zotero.org/users/16548767/items/LLD633PQ"],"itemData":{"id":55,"type":"report","publisher":"Commonwealth of Australia","title":"Australian Universities Accord Final Report","URL":"https://www.education.gov.au/australian-universities-accord/resources/final-report","author":[{"family":"Department of Education","given":""}],"issued":{"date-parts":[["2024",2,25]]}}}],"schema":"https://github.com/citation-style-language/schema/raw/master/csl-citation.json"} </w:instrText>
      </w:r>
      <w:r w:rsidRPr="00E87FBC">
        <w:rPr>
          <w:rFonts w:cstheme="minorHAnsi"/>
        </w:rPr>
        <w:fldChar w:fldCharType="separate"/>
      </w:r>
      <w:r w:rsidRPr="00E87FBC" w:rsidR="00FF04A3">
        <w:rPr>
          <w:rFonts w:cstheme="minorHAnsi"/>
        </w:rPr>
        <w:t xml:space="preserve">Department of Education, </w:t>
      </w:r>
      <w:r w:rsidRPr="00E87FBC" w:rsidR="00FF04A3">
        <w:rPr>
          <w:rFonts w:cstheme="minorHAnsi"/>
          <w:i/>
          <w:iCs/>
        </w:rPr>
        <w:t>Australian Universities Accord Final Report</w:t>
      </w:r>
      <w:r w:rsidRPr="00E87FBC" w:rsidR="00FF04A3">
        <w:rPr>
          <w:rFonts w:cstheme="minorHAnsi"/>
        </w:rPr>
        <w:t xml:space="preserve"> (Commonwealth of Australia, 25 February 2024) &lt;https://www.education.gov.au/australian-universities-accord/resources/final-report&gt;.</w:t>
      </w:r>
      <w:r w:rsidRPr="00E87FBC">
        <w:rPr>
          <w:rFonts w:cstheme="minorHAnsi"/>
        </w:rPr>
        <w:fldChar w:fldCharType="end"/>
      </w:r>
      <w:r w:rsidRPr="00E87FBC" w:rsidR="008D6AF0">
        <w:rPr>
          <w:rFonts w:cstheme="minorHAnsi"/>
        </w:rPr>
        <w:t xml:space="preserve"> </w:t>
      </w:r>
      <w:r w:rsidRPr="00E87FBC" w:rsidR="008D6AF0">
        <w:rPr>
          <w:rFonts w:cstheme="minorHAnsi"/>
        </w:rPr>
        <w:t>Accessed 6 Mar 2024.</w:t>
      </w:r>
    </w:p>
  </w:endnote>
  <w:endnote w:id="30">
    <w:p w:rsidRPr="00E87FBC" w:rsidR="00F53593" w:rsidRDefault="00F53593" w14:paraId="22E11B13" w14:textId="79ABDF4D">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2B294D">
        <w:rPr>
          <w:rFonts w:cstheme="minorHAnsi"/>
        </w:rPr>
        <w:instrText xml:space="preserve"> ADDIN ZOTERO_ITEM CSL_CITATION {"citationID":"YxtYm0rP","properties":{"formattedCitation":"United Nations, {\\i{}Convention on the Rights of Persons with Disabilities (CRPD)}.","plainCitation":"United Nations, Convention on the Rights of Persons with Disabilities (CRPD).","noteIndex":29},"citationItems":[{"id":28,"uris":["http://zotero.org/users/16548767/items/TYP5GBFV"],"itemData":{"id":28,"type":"legislation","title":"Convention on the Rights of Persons with Disabilities (CRPD)","URL":"https://social.desa.un.org/issues/disability/crpd/convention-on-the-rights-of-persons-with-disabilities-crpd","author":[{"family":"United Nations","given":""}]}}],"schema":"https://github.com/citation-style-language/schema/raw/master/csl-citation.json"} </w:instrText>
      </w:r>
      <w:r w:rsidRPr="00E87FBC">
        <w:rPr>
          <w:rFonts w:cstheme="minorHAnsi"/>
        </w:rPr>
        <w:fldChar w:fldCharType="separate"/>
      </w:r>
      <w:r w:rsidRPr="00E87FBC" w:rsidR="002B294D">
        <w:rPr>
          <w:rFonts w:cstheme="minorHAnsi"/>
        </w:rPr>
        <w:t xml:space="preserve">United Nations, </w:t>
      </w:r>
      <w:r w:rsidRPr="00E87FBC" w:rsidR="002B294D">
        <w:rPr>
          <w:rFonts w:cstheme="minorHAnsi"/>
          <w:i/>
          <w:iCs/>
        </w:rPr>
        <w:t>Convention on the Rights of Persons with Disabilities (CRPD)</w:t>
      </w:r>
      <w:r w:rsidRPr="00E87FBC" w:rsidR="002B294D">
        <w:rPr>
          <w:rFonts w:cstheme="minorHAnsi"/>
        </w:rPr>
        <w:t>.</w:t>
      </w:r>
      <w:r w:rsidRPr="00E87FBC">
        <w:rPr>
          <w:rFonts w:cstheme="minorHAnsi"/>
        </w:rPr>
        <w:fldChar w:fldCharType="end"/>
      </w:r>
    </w:p>
  </w:endnote>
  <w:endnote w:id="31">
    <w:p w:rsidRPr="00E87FBC" w:rsidR="00AC5EC8" w:rsidRDefault="00AC5EC8" w14:paraId="758D6D60" w14:textId="1DB01868">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2B294D">
        <w:rPr>
          <w:rFonts w:cstheme="minorHAnsi"/>
        </w:rPr>
        <w:instrText xml:space="preserve"> ADDIN ZOTERO_ITEM CSL_CITATION {"citationID":"PruNuzze","properties":{"formattedCitation":"Australian Disability Clearinghouse on Education and Training, {\\i{}Ableism in the Universities Accord - Joint Submission} (ADCET, n.d.) &lt;https://www.adcet.edu.au/resource/11654/ableism-in-the-universities-accord-joint-submission&gt;.","plainCitation":"Australian Disability Clearinghouse on Education and Training, Ableism in the Universities Accord - Joint Submission (ADCET, n.d.) &lt;https://www.adcet.edu.au/resource/11654/ableism-in-the-universities-accord-joint-submission&gt;.","noteIndex":30},"citationItems":[{"id":42,"uris":["http://zotero.org/users/16548767/items/WCFFLPBG"],"itemData":{"id":42,"type":"report","publisher":"ADCET","title":"Ableism in the Universities Accord - Joint Submission","URL":"https://www.adcet.edu.au/resource/11654/ableism-in-the-universities-accord-joint-submission","author":[{"family":"Australian Disability Clearinghouse on Education and Training","given":""}],"issued":{"literal":"n.d."}}}],"schema":"https://github.com/citation-style-language/schema/raw/master/csl-citation.json"} </w:instrText>
      </w:r>
      <w:r w:rsidRPr="00E87FBC">
        <w:rPr>
          <w:rFonts w:cstheme="minorHAnsi"/>
        </w:rPr>
        <w:fldChar w:fldCharType="separate"/>
      </w:r>
      <w:r w:rsidRPr="00E87FBC">
        <w:rPr>
          <w:rFonts w:cstheme="minorHAnsi"/>
        </w:rPr>
        <w:t xml:space="preserve">Australian Disability Clearinghouse on Education and Training, </w:t>
      </w:r>
      <w:r w:rsidRPr="00E87FBC">
        <w:rPr>
          <w:rFonts w:cstheme="minorHAnsi"/>
          <w:i/>
          <w:iCs/>
        </w:rPr>
        <w:t>Ableism in the Universities Accord - Joint Submission</w:t>
      </w:r>
      <w:r w:rsidRPr="00E87FBC">
        <w:rPr>
          <w:rFonts w:cstheme="minorHAnsi"/>
        </w:rPr>
        <w:t xml:space="preserve"> (ADCET, n.d.) &lt;https://www.adcet.edu.au/resource/11654/ableism-in-the-universities-accord-joint-submission&gt;.</w:t>
      </w:r>
      <w:r w:rsidRPr="00E87FBC">
        <w:rPr>
          <w:rFonts w:cstheme="minorHAnsi"/>
        </w:rPr>
        <w:fldChar w:fldCharType="end"/>
      </w:r>
      <w:r w:rsidRPr="00E87FBC" w:rsidR="008D6AF0">
        <w:rPr>
          <w:rFonts w:cstheme="minorHAnsi"/>
        </w:rPr>
        <w:t xml:space="preserve"> </w:t>
      </w:r>
      <w:r w:rsidRPr="00E87FBC" w:rsidR="008D6AF0">
        <w:rPr>
          <w:rFonts w:cstheme="minorHAnsi"/>
        </w:rPr>
        <w:t>Accessed 6 Mar 2024.</w:t>
      </w:r>
    </w:p>
  </w:endnote>
  <w:endnote w:id="32">
    <w:p w:rsidRPr="00E87FBC" w:rsidR="0095635B" w:rsidRDefault="0095635B" w14:paraId="3B870D89" w14:textId="64ABDEEB">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107021">
        <w:rPr>
          <w:rFonts w:cstheme="minorHAnsi"/>
        </w:rPr>
        <w:instrText xml:space="preserve"> ADDIN ZOTERO_ITEM CSL_CITATION {"citationID":"XnOk58vb","properties":{"formattedCitation":"Children and Young People With Disability Australia, \\uc0\\u8216{}New Education Agreement Would Continue Trend of Exclusion of Students with Disability\\uc0\\u8217{}, 1 August 2024 &lt;https://cyda.org.au/new-education-agreement-would-continue-trend-of-exclusion-of-students-with-disability/&gt;.","plainCitation":"Children and Young People With Disability Australia, ‘New Education Agreement Would Continue Trend of Exclusion of Students with Disability’, 1 August 2024 &lt;https://cyda.org.au/new-education-agreement-would-continue-trend-of-exclusion-of-students-with-disability/&gt;.","noteIndex":32},"citationItems":[{"id":41,"uris":["http://zotero.org/users/16548767/items/G6IIEWD8"],"itemData":{"id":41,"type":"post-weblog","abstract":"Children and Young People with Disability Australia (CYDA) is deeply concerned about the new Better and Fairer Schools Agreement 2025-2034, which overlooks the needs of students with disability.   \n\nThe Agreement, which the Australian government released details about yesterday, fails to address key recommendations made by CYDA in August last year.   \n\nIt is slated to replace the current National School Reform Agreement from January 1, 2025, but is still awaiting state and territory sign on.\n\n“This Agreement would essentially sideline an entire cohort of children and young people who deserve equal access to quality education,” said CYDA CEO Skye Kakoschke-Moore.    \n\n“One in 10 primary and secondary school students in Australia have disability, and yet they are referenced only four times throughout the 38-page, 106-clause document.  \n\n“That is unacceptable for an agreement intended to create a better and fairer education system for all students, not just some.”  \n\nStudents with disability are the only priority equity cohort conspicuously excluded from Improvement Measurements, extending to critical areas such as Year 12 attainment and school attendance targets.  \n\nThe glaring omission highlights the urgent need to review the Measurement Framework of Schooling in Australia, which currently fails to capture national access, participation, and outcome data for students with disability.   \n\nTrue educational equity cannot be achieved without specific and measurable goals. \n\n“The details of this Agreement, coming on the heels of the government’s disappointing response to the Disability Royal Commission, demonstrates a systemic failure to commit to inclusive education,” Ms Kakoschke-Moore said.  \n\n“The voices and needs of students with disability must be at the forefront of our state, territory, and national education policies. We call on all states and territories to not accept this 10-year plan until that is truly the case.   \n\n“The alternative is the continued marginalisation and exclusion of, and discrimination against, children and young people with disability.”  \n\nCYDA welcomes the parties’ agreement to build on efforts to identify student learning needs early and the proposed project to examine school refusal, but stresses governments need to take a more intentional and proactive approach to supporting all students with disability.","genre":"CYDA","title":"New Education Agreement would continue trend of exclusion of students with disability","URL":"https://cyda.org.au/new-education-agreement-would-continue-trend-of-exclusion-of-students-with-disability/","author":[{"family":"Children and Young People With Disability Australia","given":""}],"issued":{"date-parts":[["2024",8,1]]}}}],"schema":"https://github.com/citation-style-language/schema/raw/master/csl-citation.json"} </w:instrText>
      </w:r>
      <w:r w:rsidRPr="00E87FBC">
        <w:rPr>
          <w:rFonts w:cstheme="minorHAnsi"/>
        </w:rPr>
        <w:fldChar w:fldCharType="separate"/>
      </w:r>
      <w:r w:rsidRPr="00E87FBC">
        <w:rPr>
          <w:rFonts w:cstheme="minorHAnsi"/>
        </w:rPr>
        <w:t xml:space="preserve">Children and Young People </w:t>
      </w:r>
      <w:proofErr w:type="gramStart"/>
      <w:r w:rsidRPr="00E87FBC">
        <w:rPr>
          <w:rFonts w:cstheme="minorHAnsi"/>
        </w:rPr>
        <w:t>With</w:t>
      </w:r>
      <w:proofErr w:type="gramEnd"/>
      <w:r w:rsidRPr="00E87FBC">
        <w:rPr>
          <w:rFonts w:cstheme="minorHAnsi"/>
        </w:rPr>
        <w:t xml:space="preserve"> Disability Australia, ‘New Education Agreement Would Continue Trend of Exclusion of Students with Disability’, 1 August 2024 &lt;https://cyda.org.au/new-education-agreement-would-continue-trend-of-exclusion-of-students-with-disability/&gt;.</w:t>
      </w:r>
      <w:r w:rsidRPr="00E87FBC">
        <w:rPr>
          <w:rFonts w:cstheme="minorHAnsi"/>
        </w:rPr>
        <w:fldChar w:fldCharType="end"/>
      </w:r>
      <w:r w:rsidRPr="00E87FBC" w:rsidR="008D6AF0">
        <w:rPr>
          <w:rFonts w:cstheme="minorHAnsi"/>
        </w:rPr>
        <w:t xml:space="preserve"> </w:t>
      </w:r>
      <w:r w:rsidRPr="00E87FBC" w:rsidR="008D6AF0">
        <w:rPr>
          <w:rFonts w:cstheme="minorHAnsi"/>
        </w:rPr>
        <w:t>Accessed 6 Mar 2024.</w:t>
      </w:r>
    </w:p>
  </w:endnote>
  <w:endnote w:id="33">
    <w:p w:rsidRPr="00E87FBC" w:rsidR="00AC5EC8" w:rsidRDefault="00AC5EC8" w14:paraId="52548E8D" w14:textId="33226AE1">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2B294D">
        <w:rPr>
          <w:rFonts w:cstheme="minorHAnsi"/>
        </w:rPr>
        <w:instrText xml:space="preserve"> ADDIN ZOTERO_ITEM CSL_CITATION {"citationID":"MTxLHXna","properties":{"formattedCitation":"Australian Disability Clearinghouse on Education and Training, {\\i{}Ableism in the Universities Accord - Joint Submission}.","plainCitation":"Australian Disability Clearinghouse on Education and Training, Ableism in the Universities Accord - Joint Submission.","noteIndex":32},"citationItems":[{"id":42,"uris":["http://zotero.org/users/16548767/items/WCFFLPBG"],"itemData":{"id":42,"type":"report","publisher":"ADCET","title":"Ableism in the Universities Accord - Joint Submission","URL":"https://www.adcet.edu.au/resource/11654/ableism-in-the-universities-accord-joint-submission","author":[{"family":"Australian Disability Clearinghouse on Education and Training","given":""}],"issued":{"literal":"n.d."}}}],"schema":"https://github.com/citation-style-language/schema/raw/master/csl-citation.json"} </w:instrText>
      </w:r>
      <w:r w:rsidRPr="00E87FBC">
        <w:rPr>
          <w:rFonts w:cstheme="minorHAnsi"/>
        </w:rPr>
        <w:fldChar w:fldCharType="separate"/>
      </w:r>
      <w:r w:rsidRPr="00E87FBC">
        <w:rPr>
          <w:rFonts w:cstheme="minorHAnsi"/>
        </w:rPr>
        <w:t xml:space="preserve">Australian Disability Clearinghouse on Education and Training, </w:t>
      </w:r>
      <w:r w:rsidRPr="00E87FBC">
        <w:rPr>
          <w:rFonts w:cstheme="minorHAnsi"/>
          <w:i/>
          <w:iCs/>
        </w:rPr>
        <w:t>Ableism in the Universities Accord - Joint Submission</w:t>
      </w:r>
      <w:r w:rsidRPr="00E87FBC">
        <w:rPr>
          <w:rFonts w:cstheme="minorHAnsi"/>
        </w:rPr>
        <w:t>.</w:t>
      </w:r>
      <w:r w:rsidRPr="00E87FBC">
        <w:rPr>
          <w:rFonts w:cstheme="minorHAnsi"/>
        </w:rPr>
        <w:fldChar w:fldCharType="end"/>
      </w:r>
    </w:p>
  </w:endnote>
  <w:endnote w:id="34">
    <w:p w:rsidRPr="00E87FBC" w:rsidR="000B4C41" w:rsidRDefault="000B4C41" w14:paraId="51AF8394" w14:textId="45E7BD84">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046754">
        <w:rPr>
          <w:rFonts w:cstheme="minorHAnsi"/>
        </w:rPr>
        <w:instrText xml:space="preserve"> ADDIN ZOTERO_ITEM CSL_CITATION {"citationID":"NhcJYYNV","properties":{"formattedCitation":"Women With Disabilities Australia (WWDA), {\\i{}Submission to the Review to Inform a Better and Fairer Education System}.","plainCitation":"Women With Disabilities Australia (WWDA), Submission to the Review to Inform a Better and Fairer Education System.","noteIndex":34},"citationItems":[{"id":53,"uris":["http://zotero.org/users/16548767/items/GQ3RWHKX"],"itemData":{"id":53,"type":"report","event-place":"Hobart, Tasmania","publisher":"WWDA","publisher-place":"Hobart, Tasmania","title":"Submission to the Review to Inform a Better and Fairer Education System","URL":"https://www.education.gov.au/system/files/2023-12/Women%20With%20Disabilities%20Australia.pdf","author":[{"family":"Women With Disabilities Australia (WWDA)","given":""}],"issued":{"date-parts":[["2023",8]]}}}],"schema":"https://github.com/citation-style-language/schema/raw/master/csl-citation.json"} </w:instrText>
      </w:r>
      <w:r w:rsidRPr="00E87FBC">
        <w:rPr>
          <w:rFonts w:cstheme="minorHAnsi"/>
        </w:rPr>
        <w:fldChar w:fldCharType="separate"/>
      </w:r>
      <w:r w:rsidRPr="00E87FBC" w:rsidR="00046754">
        <w:rPr>
          <w:rFonts w:cstheme="minorHAnsi"/>
        </w:rPr>
        <w:t xml:space="preserve">Women With Disabilities Australia (WWDA), </w:t>
      </w:r>
      <w:r w:rsidRPr="00E87FBC" w:rsidR="00046754">
        <w:rPr>
          <w:rFonts w:cstheme="minorHAnsi"/>
          <w:i/>
          <w:iCs/>
        </w:rPr>
        <w:t>Submission to the Review to Inform a Better and Fairer Education System</w:t>
      </w:r>
      <w:r w:rsidRPr="00E87FBC" w:rsidR="00046754">
        <w:rPr>
          <w:rFonts w:cstheme="minorHAnsi"/>
        </w:rPr>
        <w:t>.</w:t>
      </w:r>
      <w:r w:rsidRPr="00E87FBC">
        <w:rPr>
          <w:rFonts w:cstheme="minorHAnsi"/>
        </w:rPr>
        <w:fldChar w:fldCharType="end"/>
      </w:r>
    </w:p>
  </w:endnote>
  <w:endnote w:id="35">
    <w:p w:rsidRPr="00E87FBC" w:rsidR="00046754" w:rsidRDefault="00046754" w14:paraId="5875CED9" w14:textId="4BAEA9C5">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9E5B69">
        <w:rPr>
          <w:rFonts w:cstheme="minorHAnsi"/>
        </w:rPr>
        <w:instrText xml:space="preserve"> ADDIN ZOTERO_ITEM CSL_CITATION {"citationID":"N4IFUeEK","properties":{"formattedCitation":"Women with Disabilities Australia (WWDA), {\\i{}Final Report for the Disability Employment Services (DES) Consumer Engagement Project}, p. 7.","plainCitation":"Women with Disabilities Australia (WWDA), Final Report for the Disability Employment Services (DES) Consumer Engagement Project, p. 7.","noteIndex":35},"citationItems":[{"id":46,"uris":["http://zotero.org/users/16548767/items/DUDGVJNK"],"itemData":{"id":46,"type":"report","event-place":"Hobart, Tasmania","publisher":"WWDA","publisher-place":"Hobart, Tasmania","title":"Final Report for the Disability Employment Services (DES) Consumer Engagement Project","URL":"https://wwda.org.au/wp-content/uploads/2014/10/WWDA_DES_Report_Final.pdf","author":[{"family":"Women with Disabilities Australia (WWDA)","given":""}],"issued":{"date-parts":[["2014",8]]}},"locator":"7","label":"page"}],"schema":"https://github.com/citation-style-language/schema/raw/master/csl-citation.json"} </w:instrText>
      </w:r>
      <w:r w:rsidRPr="00E87FBC">
        <w:rPr>
          <w:rFonts w:cstheme="minorHAnsi"/>
        </w:rPr>
        <w:fldChar w:fldCharType="separate"/>
      </w:r>
      <w:r w:rsidRPr="00E87FBC" w:rsidR="009E5B69">
        <w:rPr>
          <w:rFonts w:cstheme="minorHAnsi"/>
        </w:rPr>
        <w:t xml:space="preserve">Women with Disabilities Australia (WWDA), </w:t>
      </w:r>
      <w:r w:rsidRPr="00E87FBC" w:rsidR="009E5B69">
        <w:rPr>
          <w:rFonts w:cstheme="minorHAnsi"/>
          <w:i/>
          <w:iCs/>
        </w:rPr>
        <w:t>Final Report for the Disability Employment Services (DES) Consumer Engagement Project</w:t>
      </w:r>
      <w:r w:rsidRPr="00E87FBC" w:rsidR="009E5B69">
        <w:rPr>
          <w:rFonts w:cstheme="minorHAnsi"/>
        </w:rPr>
        <w:t>, p. 7.</w:t>
      </w:r>
      <w:r w:rsidRPr="00E87FBC">
        <w:rPr>
          <w:rFonts w:cstheme="minorHAnsi"/>
        </w:rPr>
        <w:fldChar w:fldCharType="end"/>
      </w:r>
    </w:p>
  </w:endnote>
  <w:endnote w:id="36">
    <w:p w:rsidRPr="00E87FBC" w:rsidR="00BF0853" w:rsidRDefault="00BF0853" w14:paraId="0D9DA717" w14:textId="2E0522FF">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107021">
        <w:rPr>
          <w:rFonts w:cstheme="minorHAnsi"/>
        </w:rPr>
        <w:instrText xml:space="preserve"> ADDIN ZOTERO_ITEM CSL_CITATION {"citationID":"Ez96SF4O","properties":{"formattedCitation":"Royal Commission into Violence, Abuse, Neglect and Exploitation of People with Disability, {\\i{}Final Report: Executive Summary, Our Vision for an Inclusive Australia and Recommendations} (Commonwealth of Australia, 2023), p. 249 &lt;https://disability.royalcommission.gov.au/publications/final-report-executive-summary-our-vision-inclusive-australia-and-recommendations&gt;.","plainCitation":"Royal Commission into Violence, Abuse, Neglect and Exploitation of People with Disability, Final Report: Executive Summary, Our Vision for an Inclusive Australia and Recommendations (Commonwealth of Australia, 2023), p. 249 &lt;https://disability.royalcommission.gov.au/publications/final-report-executive-summary-our-vision-inclusive-australia-and-recommendations&gt;.","noteIndex":37},"citationItems":[{"id":3,"uris":["http://zotero.org/users/16548767/items/K2YHHANA"],"itemData":{"id":3,"type":"report","publisher":"Commonwealth of Australia","title":"Final Report: Executive Summary, Our Vision for an Inclusive Australia and Recommendations","URL":"https://disability.royalcommission.gov.au/publications/final-report-executive-summary-our-vision-inclusive-australia-and-recommendations","author":[{"family":"Royal Commission into Violence, Abuse, Neglect and Exploitation of People with Disability","given":""}],"issued":{"date-parts":[["2023"]]}},"locator":"249","label":"page"}],"schema":"https://github.com/citation-style-language/schema/raw/master/csl-citation.json"} </w:instrText>
      </w:r>
      <w:r w:rsidRPr="00E87FBC">
        <w:rPr>
          <w:rFonts w:cstheme="minorHAnsi"/>
        </w:rPr>
        <w:fldChar w:fldCharType="separate"/>
      </w:r>
      <w:r w:rsidRPr="00E87FBC">
        <w:rPr>
          <w:rFonts w:cstheme="minorHAnsi"/>
        </w:rPr>
        <w:t xml:space="preserve">Royal Commission into Violence, Abuse, Neglect and Exploitation of People with Disability, </w:t>
      </w:r>
      <w:r w:rsidRPr="00E87FBC">
        <w:rPr>
          <w:rFonts w:cstheme="minorHAnsi"/>
          <w:i/>
          <w:iCs/>
        </w:rPr>
        <w:t>Final Report: Executive Summary, Our Vision for an Inclusive Australia and Recommendations</w:t>
      </w:r>
      <w:r w:rsidRPr="00E87FBC">
        <w:rPr>
          <w:rFonts w:cstheme="minorHAnsi"/>
        </w:rPr>
        <w:t xml:space="preserve"> (Commonwealth of Australia, 2023), p. 249 &lt;https://disability.royalcommission.gov.au/publications/final-report-executive-summary-our-vision-inclusive-australia-and-recommendations&gt;.</w:t>
      </w:r>
      <w:r w:rsidRPr="00E87FBC">
        <w:rPr>
          <w:rFonts w:cstheme="minorHAnsi"/>
        </w:rPr>
        <w:fldChar w:fldCharType="end"/>
      </w:r>
      <w:r w:rsidRPr="00E87FBC" w:rsidR="008D6AF0">
        <w:rPr>
          <w:rFonts w:cstheme="minorHAnsi"/>
        </w:rPr>
        <w:t xml:space="preserve"> </w:t>
      </w:r>
      <w:r w:rsidRPr="00E87FBC" w:rsidR="008D6AF0">
        <w:rPr>
          <w:rFonts w:cstheme="minorHAnsi"/>
        </w:rPr>
        <w:t>Accessed 6 Mar 2024.</w:t>
      </w:r>
    </w:p>
  </w:endnote>
  <w:endnote w:id="37">
    <w:p w:rsidRPr="00E87FBC" w:rsidR="00BF0853" w:rsidRDefault="00BF0853" w14:paraId="2BCB8E25" w14:textId="665B1D86">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057970">
        <w:rPr>
          <w:rFonts w:cstheme="minorHAnsi"/>
        </w:rPr>
        <w:instrText xml:space="preserve"> ADDIN ZOTERO_ITEM CSL_CITATION {"citationID":"aDZXNf4T","properties":{"formattedCitation":"Australian Coalition for Inclusive Education, {\\i{}Driving Change: A Roadmap for Achieving Inclusive Education in Australia} (ACIE, February 2021), p. 7 &lt;https://acie.org.au/acie-roadmap/&gt;.","plainCitation":"Australian Coalition for Inclusive Education, Driving Change: A Roadmap for Achieving Inclusive Education in Australia (ACIE, February 2021), p. 7 &lt;https://acie.org.au/acie-roadmap/&gt;.","noteIndex":36},"citationItems":[{"id":39,"uris":["http://zotero.org/users/16548767/items/355JESHC"],"itemData":{"id":39,"type":"report","publisher":"ACIE","title":"Driving change: A roadmap for achieving inclusive education in Australia","URL":"https://acie.org.au/acie-roadmap/","author":[{"family":"Australian Coalition for Inclusive Education","given":""}],"issued":{"date-parts":[["2021",2]]}},"locator":"7","label":"page"}],"schema":"https://github.com/citation-style-language/schema/raw/master/csl-citation.json"} </w:instrText>
      </w:r>
      <w:r w:rsidRPr="00E87FBC">
        <w:rPr>
          <w:rFonts w:cstheme="minorHAnsi"/>
        </w:rPr>
        <w:fldChar w:fldCharType="separate"/>
      </w:r>
      <w:r w:rsidRPr="00E87FBC">
        <w:rPr>
          <w:rFonts w:cstheme="minorHAnsi"/>
        </w:rPr>
        <w:t xml:space="preserve">Australian Coalition for Inclusive Education, </w:t>
      </w:r>
      <w:r w:rsidRPr="00E87FBC">
        <w:rPr>
          <w:rFonts w:cstheme="minorHAnsi"/>
          <w:i/>
          <w:iCs/>
        </w:rPr>
        <w:t>Driving Change: A Roadmap for Achieving Inclusive Education in Australia</w:t>
      </w:r>
      <w:r w:rsidRPr="00E87FBC">
        <w:rPr>
          <w:rFonts w:cstheme="minorHAnsi"/>
        </w:rPr>
        <w:t xml:space="preserve"> (ACIE, February 2021), p. 7 &lt;https://acie.org.au/acie-roadmap/&gt;.</w:t>
      </w:r>
      <w:r w:rsidRPr="00E87FBC">
        <w:rPr>
          <w:rFonts w:cstheme="minorHAnsi"/>
        </w:rPr>
        <w:fldChar w:fldCharType="end"/>
      </w:r>
      <w:r w:rsidRPr="00E87FBC" w:rsidR="00536013">
        <w:rPr>
          <w:rFonts w:cstheme="minorHAnsi"/>
        </w:rPr>
        <w:t xml:space="preserve"> </w:t>
      </w:r>
      <w:r w:rsidRPr="00E87FBC" w:rsidR="00536013">
        <w:rPr>
          <w:rFonts w:cstheme="minorHAnsi"/>
        </w:rPr>
        <w:t>Accessed 6 Mar 2024.</w:t>
      </w:r>
    </w:p>
  </w:endnote>
  <w:endnote w:id="38">
    <w:p w:rsidRPr="00E87FBC" w:rsidR="00BF59FF" w:rsidRDefault="00BF59FF" w14:paraId="5BFB98E7" w14:textId="320AE8E0">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057970">
        <w:rPr>
          <w:rFonts w:cstheme="minorHAnsi"/>
        </w:rPr>
        <w:instrText xml:space="preserve"> ADDIN ZOTERO_ITEM CSL_CITATION {"citationID":"Sq9933tt","properties":{"formattedCitation":"Australian Coalition for Inclusive Education, {\\i{}Driving Change: A Roadmap for Achieving Inclusive Education in Australia}, p. 16.","plainCitation":"Australian Coalition for Inclusive Education, Driving Change: A Roadmap for Achieving Inclusive Education in Australia, p. 16.","noteIndex":37},"citationItems":[{"id":39,"uris":["http://zotero.org/users/16548767/items/355JESHC"],"itemData":{"id":39,"type":"report","publisher":"ACIE","title":"Driving change: A roadmap for achieving inclusive education in Australia","URL":"https://acie.org.au/acie-roadmap/","author":[{"family":"Australian Coalition for Inclusive Education","given":""}],"issued":{"date-parts":[["2021",2]]}},"locator":"16","label":"page"}],"schema":"https://github.com/citation-style-language/schema/raw/master/csl-citation.json"} </w:instrText>
      </w:r>
      <w:r w:rsidRPr="00E87FBC">
        <w:rPr>
          <w:rFonts w:cstheme="minorHAnsi"/>
        </w:rPr>
        <w:fldChar w:fldCharType="separate"/>
      </w:r>
      <w:r w:rsidRPr="00E87FBC">
        <w:rPr>
          <w:rFonts w:cstheme="minorHAnsi"/>
        </w:rPr>
        <w:t xml:space="preserve">Australian Coalition for Inclusive Education, </w:t>
      </w:r>
      <w:r w:rsidRPr="00E87FBC">
        <w:rPr>
          <w:rFonts w:cstheme="minorHAnsi"/>
          <w:i/>
          <w:iCs/>
        </w:rPr>
        <w:t>Driving Change: A Roadmap for Achieving Inclusive Education in Australia</w:t>
      </w:r>
      <w:r w:rsidRPr="00E87FBC">
        <w:rPr>
          <w:rFonts w:cstheme="minorHAnsi"/>
        </w:rPr>
        <w:t>, p. 16.</w:t>
      </w:r>
      <w:r w:rsidRPr="00E87FBC">
        <w:rPr>
          <w:rFonts w:cstheme="minorHAnsi"/>
        </w:rPr>
        <w:fldChar w:fldCharType="end"/>
      </w:r>
    </w:p>
  </w:endnote>
  <w:endnote w:id="39">
    <w:p w:rsidRPr="00E87FBC" w:rsidR="00BF59FF" w:rsidRDefault="00BF59FF" w14:paraId="55332519" w14:textId="76AEDCAD">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057970">
        <w:rPr>
          <w:rFonts w:cstheme="minorHAnsi"/>
        </w:rPr>
        <w:instrText xml:space="preserve"> ADDIN ZOTERO_ITEM CSL_CITATION {"citationID":"esmjXn4U","properties":{"formattedCitation":"Australian Coalition for Inclusive Education, {\\i{}Driving Change: A Roadmap for Achieving Inclusive Education in Australia}, p. 9.","plainCitation":"Australian Coalition for Inclusive Education, Driving Change: A Roadmap for Achieving Inclusive Education in Australia, p. 9.","noteIndex":38},"citationItems":[{"id":39,"uris":["http://zotero.org/users/16548767/items/355JESHC"],"itemData":{"id":39,"type":"report","publisher":"ACIE","title":"Driving change: A roadmap for achieving inclusive education in Australia","URL":"https://acie.org.au/acie-roadmap/","author":[{"family":"Australian Coalition for Inclusive Education","given":""}],"issued":{"date-parts":[["2021",2]]}},"locator":"9","label":"page"}],"schema":"https://github.com/citation-style-language/schema/raw/master/csl-citation.json"} </w:instrText>
      </w:r>
      <w:r w:rsidRPr="00E87FBC">
        <w:rPr>
          <w:rFonts w:cstheme="minorHAnsi"/>
        </w:rPr>
        <w:fldChar w:fldCharType="separate"/>
      </w:r>
      <w:r w:rsidRPr="00E87FBC">
        <w:rPr>
          <w:rFonts w:cstheme="minorHAnsi"/>
        </w:rPr>
        <w:t xml:space="preserve">Australian Coalition for Inclusive Education, </w:t>
      </w:r>
      <w:r w:rsidRPr="00E87FBC">
        <w:rPr>
          <w:rFonts w:cstheme="minorHAnsi"/>
          <w:i/>
          <w:iCs/>
        </w:rPr>
        <w:t>Driving Change: A Roadmap for Achieving Inclusive Education in Australia</w:t>
      </w:r>
      <w:r w:rsidRPr="00E87FBC">
        <w:rPr>
          <w:rFonts w:cstheme="minorHAnsi"/>
        </w:rPr>
        <w:t>, p. 9.</w:t>
      </w:r>
      <w:r w:rsidRPr="00E87FBC">
        <w:rPr>
          <w:rFonts w:cstheme="minorHAnsi"/>
        </w:rPr>
        <w:fldChar w:fldCharType="end"/>
      </w:r>
    </w:p>
  </w:endnote>
  <w:endnote w:id="40">
    <w:p w:rsidRPr="00E87FBC" w:rsidR="00BF59FF" w:rsidRDefault="00BF59FF" w14:paraId="5A0AC90E" w14:textId="36DF98C8">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A669E3">
        <w:rPr>
          <w:rFonts w:cstheme="minorHAnsi"/>
        </w:rPr>
        <w:instrText xml:space="preserve"> ADDIN ZOTERO_ITEM CSL_CITATION {"citationID":"N78r2W19","properties":{"formattedCitation":"United Nations, {\\i{}Convention on the Rights of Persons with Disabilities (CRPD)}.","plainCitation":"United Nations, Convention on the Rights of Persons with Disabilities (CRPD).","noteIndex":42},"citationItems":[{"id":28,"uris":["http://zotero.org/users/16548767/items/TYP5GBFV"],"itemData":{"id":28,"type":"legislation","title":"Convention on the Rights of Persons with Disabilities (CRPD)","URL":"https://social.desa.un.org/issues/disability/crpd/convention-on-the-rights-of-persons-with-disabilities-crpd","author":[{"family":"United Nations","given":""}]}}],"schema":"https://github.com/citation-style-language/schema/raw/master/csl-citation.json"} </w:instrText>
      </w:r>
      <w:r w:rsidRPr="00E87FBC">
        <w:rPr>
          <w:rFonts w:cstheme="minorHAnsi"/>
        </w:rPr>
        <w:fldChar w:fldCharType="separate"/>
      </w:r>
      <w:r w:rsidRPr="00E87FBC">
        <w:rPr>
          <w:rFonts w:cstheme="minorHAnsi"/>
        </w:rPr>
        <w:t xml:space="preserve">United Nations, </w:t>
      </w:r>
      <w:r w:rsidRPr="00E87FBC">
        <w:rPr>
          <w:rFonts w:cstheme="minorHAnsi"/>
          <w:i/>
          <w:iCs/>
        </w:rPr>
        <w:t>Convention on the Rights of Persons with Disabilities (CRPD)</w:t>
      </w:r>
      <w:r w:rsidRPr="00E87FBC">
        <w:rPr>
          <w:rFonts w:cstheme="minorHAnsi"/>
        </w:rPr>
        <w:t>.</w:t>
      </w:r>
      <w:r w:rsidRPr="00E87FBC">
        <w:rPr>
          <w:rFonts w:cstheme="minorHAnsi"/>
        </w:rPr>
        <w:fldChar w:fldCharType="end"/>
      </w:r>
    </w:p>
  </w:endnote>
  <w:endnote w:id="41">
    <w:p w:rsidRPr="00E87FBC" w:rsidR="00BE46FA" w:rsidRDefault="00BE46FA" w14:paraId="2BF73C64" w14:textId="45F4D3A1">
      <w:pPr>
        <w:pStyle w:val="EndnoteText"/>
        <w:rPr>
          <w:rFonts w:cstheme="minorHAnsi"/>
          <w:lang w:val="en-AU"/>
        </w:rPr>
      </w:pPr>
      <w:r w:rsidRPr="00E87FBC">
        <w:rPr>
          <w:rStyle w:val="EndnoteReference"/>
          <w:rFonts w:cstheme="minorHAnsi"/>
        </w:rPr>
        <w:endnoteRef/>
      </w:r>
      <w:r w:rsidRPr="00E87FBC">
        <w:rPr>
          <w:rFonts w:cstheme="minorHAnsi"/>
        </w:rPr>
        <w:t xml:space="preserve"> United Nations</w:t>
      </w:r>
      <w:r w:rsidRPr="00E87FBC" w:rsidR="00E87FBC">
        <w:rPr>
          <w:rFonts w:cstheme="minorHAnsi"/>
          <w:i/>
          <w:iCs/>
        </w:rPr>
        <w:t xml:space="preserve">, </w:t>
      </w:r>
      <w:r w:rsidRPr="00E87FBC" w:rsidR="00E87FBC">
        <w:rPr>
          <w:rFonts w:cstheme="minorHAnsi"/>
          <w:i/>
          <w:iCs/>
        </w:rPr>
        <w:t>Convention on the Rights of Persons with Disabilities (CRPD)</w:t>
      </w:r>
      <w:r w:rsidRPr="00E87FBC" w:rsidR="00E87FBC">
        <w:rPr>
          <w:rFonts w:cstheme="minorHAnsi"/>
        </w:rPr>
        <w:t>.</w:t>
      </w:r>
      <w:r w:rsidRPr="00E87FBC">
        <w:rPr>
          <w:rFonts w:cstheme="minorHAnsi"/>
        </w:rPr>
        <w:t xml:space="preserve"> https://www.un.org/development/desa/disabilities/convention-on-the-rights-of-persons-with-disabilities.html</w:t>
      </w:r>
    </w:p>
  </w:endnote>
  <w:endnote w:id="42">
    <w:p w:rsidRPr="00E87FBC" w:rsidR="00203BEB" w:rsidRDefault="00203BEB" w14:paraId="6D4ADACE" w14:textId="47469741">
      <w:pPr>
        <w:pStyle w:val="EndnoteText"/>
        <w:rPr>
          <w:rFonts w:cstheme="minorHAnsi"/>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sidR="00057970">
        <w:rPr>
          <w:rFonts w:cstheme="minorHAnsi"/>
        </w:rPr>
        <w:instrText xml:space="preserve"> ADDIN ZOTERO_ITEM CSL_CITATION {"citationID":"5YelDvbi","properties":{"formattedCitation":"Women with Disabilities Australia (WWDA), {\\i{}Response to the Employment Issues Paper of the Royal Commission into Violence, Abuse, Neglect and Exploitation of People with Disability} (WWDA, August 2020) &lt;https://wwda.org.au/wp-content/uploads/2020/08/WWDA-Response-to-Employment-Issues-Paper-Final1.pdf&gt;.","plainCitation":"Women with Disabilities Australia (WWDA), Response to the Employment Issues Paper of the Royal Commission into Violence, Abuse, Neglect and Exploitation of People with Disability (WWDA, August 2020) &lt;https://wwda.org.au/wp-content/uploads/2020/08/WWDA-Response-to-Employment-Issues-Paper-Final1.pdf&gt;.","noteIndex":41},"citationItems":[{"id":59,"uris":["http://zotero.org/users/16548767/items/9EJNKEVC"],"itemData":{"id":59,"type":"report","event-place":"Hobart, Tasmania","publisher":"WWDA","publisher-place":"Hobart, Tasmania","title":"Response to the Employment Issues Paper of the Royal Commission into Violence, Abuse, Neglect and Exploitation of People with Disability","URL":"https://wwda.org.au/wp-content/uploads/2020/08/WWDA-Response-to-Employment-Issues-Paper-Final1.pdf","author":[{"family":"Women with Disabilities Australia (WWDA)","given":""}],"issued":{"date-parts":[["2020",8]]}}}],"schema":"https://github.com/citation-style-language/schema/raw/master/csl-citation.json"} </w:instrText>
      </w:r>
      <w:r w:rsidRPr="00E87FBC">
        <w:rPr>
          <w:rFonts w:cstheme="minorHAnsi"/>
        </w:rPr>
        <w:fldChar w:fldCharType="separate"/>
      </w:r>
      <w:r w:rsidRPr="00E87FBC" w:rsidR="00057970">
        <w:rPr>
          <w:rFonts w:cstheme="minorHAnsi"/>
        </w:rPr>
        <w:t xml:space="preserve">Women with Disabilities Australia (WWDA), </w:t>
      </w:r>
      <w:r w:rsidRPr="00E87FBC" w:rsidR="00057970">
        <w:rPr>
          <w:rFonts w:cstheme="minorHAnsi"/>
          <w:i/>
          <w:iCs/>
        </w:rPr>
        <w:t>Response to the Employment Issues Paper of the Royal Commission into Violence, Abuse, Neglect and Exploitation of People with Disability</w:t>
      </w:r>
      <w:r w:rsidRPr="00E87FBC" w:rsidR="00057970">
        <w:rPr>
          <w:rFonts w:cstheme="minorHAnsi"/>
        </w:rPr>
        <w:t xml:space="preserve"> (WWDA, August 2020) &lt;https://wwda.org.au/wp-content/uploads/2020/08/WWDA-Response-to-Employment-Issues-Paper-Final1.pdf&gt;.</w:t>
      </w:r>
      <w:r w:rsidRPr="00E87FBC">
        <w:rPr>
          <w:rFonts w:cstheme="minorHAnsi"/>
        </w:rPr>
        <w:fldChar w:fldCharType="end"/>
      </w:r>
      <w:r w:rsidRPr="00E87FBC" w:rsidR="00E87FBC">
        <w:rPr>
          <w:rFonts w:cstheme="minorHAnsi"/>
        </w:rPr>
        <w:t xml:space="preserve"> </w:t>
      </w:r>
      <w:r w:rsidRPr="00E87FBC" w:rsidR="00E87FBC">
        <w:rPr>
          <w:rFonts w:cstheme="minorHAnsi"/>
        </w:rPr>
        <w:t>Accessed 6 Mar 2024.</w:t>
      </w:r>
    </w:p>
  </w:endnote>
  <w:endnote w:id="43">
    <w:p w:rsidRPr="00057970" w:rsidR="00057970" w:rsidRDefault="00057970" w14:paraId="25A6B1C0" w14:textId="568B7869">
      <w:pPr>
        <w:pStyle w:val="EndnoteText"/>
        <w:rPr>
          <w:lang w:val="en-AU"/>
        </w:rPr>
      </w:pPr>
      <w:r w:rsidRPr="00E87FBC">
        <w:rPr>
          <w:rStyle w:val="EndnoteReference"/>
          <w:rFonts w:cstheme="minorHAnsi"/>
        </w:rPr>
        <w:endnoteRef/>
      </w:r>
      <w:r w:rsidRPr="00E87FBC">
        <w:rPr>
          <w:rFonts w:cstheme="minorHAnsi"/>
        </w:rPr>
        <w:t xml:space="preserve"> </w:t>
      </w:r>
      <w:r w:rsidRPr="00E87FBC">
        <w:rPr>
          <w:rFonts w:cstheme="minorHAnsi"/>
        </w:rPr>
        <w:fldChar w:fldCharType="begin"/>
      </w:r>
      <w:r w:rsidRPr="00E87FBC">
        <w:rPr>
          <w:rFonts w:cstheme="minorHAnsi"/>
        </w:rPr>
        <w:instrText xml:space="preserve"> ADDIN ZOTERO_ITEM CSL_CITATION {"citationID":"qur2cW8W","properties":{"formattedCitation":"Department of the Prime Minister and Cabinet, {\\i{}Working for Women: A Strategy for Gender Equality}.","plainCitation":"Department of the Prime Minister and Cabinet, Working for Women: A Strategy for Gender Equality.","noteIndex":42},"citationItems":[{"id":48,"uris":["http://zotero.org/users/16548767/items/DBYBQTIS"],"itemData":{"id":48,"type":"report","publisher":"Commonwealth of Australia","title":"Working for Women: A Strategy for Gender Equality","URL":"https://genderequality.gov.au/","author":[{"family":"Department of the Prime Minister and Cabinet","given":""}],"issued":{"date-parts":[["2024"]]}}}],"schema":"https://github.com/citation-style-language/schema/raw/master/csl-citation.json"} </w:instrText>
      </w:r>
      <w:r w:rsidRPr="00E87FBC">
        <w:rPr>
          <w:rFonts w:cstheme="minorHAnsi"/>
        </w:rPr>
        <w:fldChar w:fldCharType="separate"/>
      </w:r>
      <w:r w:rsidRPr="00E87FBC">
        <w:rPr>
          <w:rFonts w:cstheme="minorHAnsi"/>
        </w:rPr>
        <w:t xml:space="preserve">Department of the Prime Minister and Cabinet, </w:t>
      </w:r>
      <w:r w:rsidRPr="00E87FBC">
        <w:rPr>
          <w:rFonts w:cstheme="minorHAnsi"/>
          <w:i/>
          <w:iCs/>
        </w:rPr>
        <w:t>Working for Women: A Strategy for Gender Equality</w:t>
      </w:r>
      <w:r w:rsidRPr="00E87FBC">
        <w:rPr>
          <w:rFonts w:cstheme="minorHAnsi"/>
        </w:rPr>
        <w:t>.</w:t>
      </w:r>
      <w:r w:rsidRPr="00E87FBC">
        <w:rPr>
          <w:rFonts w:cstheme="minorHAnsi"/>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roxima Nova Rg">
    <w:altName w:val="Tahoma"/>
    <w:panose1 w:val="020B0604020202020204"/>
    <w:charset w:val="00"/>
    <w:family w:val="auto"/>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Figtree">
    <w:altName w:val="Calibri"/>
    <w:panose1 w:val="020B0604020202020204"/>
    <w:charset w:val="00"/>
    <w:family w:val="auto"/>
    <w:pitch w:val="variable"/>
    <w:sig w:usb0="A000006F" w:usb1="0000007B" w:usb2="00000000" w:usb3="00000000" w:csb0="00000093" w:csb1="00000000"/>
  </w:font>
  <w:font w:name="Tahoma">
    <w:panose1 w:val="020B0604030504040204"/>
    <w:charset w:val="00"/>
    <w:family w:val="swiss"/>
    <w:pitch w:val="variable"/>
    <w:sig w:usb0="E1002EFF" w:usb1="C000605B" w:usb2="00000029" w:usb3="00000000" w:csb0="000101FF" w:csb1="00000000"/>
  </w:font>
  <w:font w:name="Figtree SemiBold">
    <w:altName w:val="Cambria"/>
    <w:panose1 w:val="020B0604020202020204"/>
    <w:charset w:val="00"/>
    <w:family w:val="auto"/>
    <w:pitch w:val="variable"/>
    <w:sig w:usb0="A000006F" w:usb1="0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9934185"/>
      <w:docPartObj>
        <w:docPartGallery w:val="Page Numbers (Bottom of Page)"/>
        <w:docPartUnique/>
      </w:docPartObj>
    </w:sdtPr>
    <w:sdtContent>
      <w:p w:rsidR="00785531" w:rsidRDefault="00785531" w14:paraId="131EEDBE"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785531" w:rsidP="00785531" w:rsidRDefault="00785531" w14:paraId="24933E4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eNumber"/>
      </w:rPr>
      <w:id w:val="1015038925"/>
      <w:docPartObj>
        <w:docPartGallery w:val="Page Numbers (Bottom of Page)"/>
        <w:docPartUnique/>
      </w:docPartObj>
    </w:sdtPr>
    <w:sdtContent>
      <w:p w:rsidR="00785531" w:rsidP="00785531" w:rsidRDefault="00785531" w14:paraId="47DDE8DF" w14:textId="77777777">
        <w:pPr>
          <w:pStyle w:val="Footer"/>
          <w:framePr w:wrap="none" w:hAnchor="page" w:vAnchor="text" w:x="11238" w:y="172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785531" w:rsidP="00785531" w:rsidRDefault="00294D52" w14:paraId="273B83A3" w14:textId="38051228">
    <w:pPr>
      <w:pStyle w:val="Footer"/>
      <w:ind w:left="-1440" w:right="-1440"/>
    </w:pPr>
    <w:r>
      <w:rPr>
        <w:noProof/>
      </w:rPr>
      <w:drawing>
        <wp:inline distT="0" distB="0" distL="0" distR="0" wp14:anchorId="35965496" wp14:editId="1A1184C4">
          <wp:extent cx="7574280" cy="1514218"/>
          <wp:effectExtent l="0" t="0" r="0" b="0"/>
          <wp:docPr id="565767992" name="Picture 2"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93986" name="Picture 2" descr="A close-up of a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7262" cy="152680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A6B15" w:rsidP="002A6B15" w:rsidRDefault="00294D52" w14:paraId="6696885C" w14:textId="69514D04">
    <w:pPr>
      <w:pStyle w:val="Footer"/>
      <w:ind w:left="-1440"/>
    </w:pPr>
    <w:r w:rsidR="00E444D3">
      <w:drawing>
        <wp:inline wp14:editId="05634C56" wp14:anchorId="6E2474D6">
          <wp:extent cx="7735655" cy="1546960"/>
          <wp:effectExtent l="0" t="0" r="0" b="2540"/>
          <wp:docPr id="1206065813" name="Picture 2" descr="A close-up of a card&#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0b5e63fbd3cb450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35655" cy="1546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2E18" w:rsidP="00785531" w:rsidRDefault="00E42E18" w14:paraId="026ECD49" w14:textId="77777777">
      <w:r>
        <w:separator/>
      </w:r>
    </w:p>
  </w:footnote>
  <w:footnote w:type="continuationSeparator" w:id="0">
    <w:p w:rsidR="00E42E18" w:rsidP="00785531" w:rsidRDefault="00E42E18" w14:paraId="1F8F6616" w14:textId="77777777">
      <w:r>
        <w:continuationSeparator/>
      </w:r>
    </w:p>
  </w:footnote>
  <w:footnote w:type="continuationNotice" w:id="1">
    <w:p w:rsidR="00E42E18" w:rsidRDefault="00E42E18" w14:paraId="141A13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85531" w:rsidP="00785531" w:rsidRDefault="00C94D01" w14:paraId="49D71EB5" w14:textId="77777777">
    <w:pPr>
      <w:pStyle w:val="Header"/>
      <w:ind w:left="-1276" w:hanging="164"/>
    </w:pPr>
    <w:r w:rsidR="58C4D3FB">
      <w:drawing>
        <wp:inline wp14:editId="2C5160DD" wp14:anchorId="3C0E3BF3">
          <wp:extent cx="7670116" cy="1685964"/>
          <wp:effectExtent l="0" t="0" r="0" b="0"/>
          <wp:docPr id="2" name="Picture 2" descr="A purple and white background&#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f65503d3981a4e9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670116" cy="16859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85531" w:rsidP="58C4D3FB" w:rsidRDefault="00294D52" w14:paraId="7764357C" w14:textId="1BAF0923">
    <w:pPr>
      <w:pStyle w:val="Header"/>
      <w:ind w:hanging="720"/>
    </w:pPr>
    <w:r w:rsidR="58C4D3FB">
      <w:drawing>
        <wp:inline wp14:editId="4CC6497F" wp14:anchorId="24FE4042">
          <wp:extent cx="7585796" cy="1669951"/>
          <wp:effectExtent l="0" t="0" r="0" b="4445"/>
          <wp:docPr id="1926661350" name="Picture 1" descr="A purple rectangular object with white text&#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f6c1b81a47c04af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585796" cy="16699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AB4"/>
    <w:multiLevelType w:val="multilevel"/>
    <w:tmpl w:val="CBAE4C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E16614"/>
    <w:multiLevelType w:val="multilevel"/>
    <w:tmpl w:val="CCCE87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913C03"/>
    <w:multiLevelType w:val="multilevel"/>
    <w:tmpl w:val="A45E322A"/>
    <w:lvl w:ilvl="0">
      <w:start w:val="1"/>
      <w:numFmt w:val="bullet"/>
      <w:lvlText w:val=""/>
      <w:lvlJc w:val="left"/>
      <w:pPr>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12FBE"/>
    <w:multiLevelType w:val="multilevel"/>
    <w:tmpl w:val="769A8E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133D33"/>
    <w:multiLevelType w:val="multilevel"/>
    <w:tmpl w:val="10BEC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DFF1945"/>
    <w:multiLevelType w:val="multilevel"/>
    <w:tmpl w:val="A45E322A"/>
    <w:lvl w:ilvl="0">
      <w:start w:val="1"/>
      <w:numFmt w:val="bullet"/>
      <w:lvlText w:val=""/>
      <w:lvlJc w:val="left"/>
      <w:pPr>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C4595"/>
    <w:multiLevelType w:val="multilevel"/>
    <w:tmpl w:val="35AC8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6B3693"/>
    <w:multiLevelType w:val="multilevel"/>
    <w:tmpl w:val="CB9C9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E879B1"/>
    <w:multiLevelType w:val="multilevel"/>
    <w:tmpl w:val="7E02A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C884C69"/>
    <w:multiLevelType w:val="multilevel"/>
    <w:tmpl w:val="1A3833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5C3CD2"/>
    <w:multiLevelType w:val="multilevel"/>
    <w:tmpl w:val="F95CE5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034507"/>
    <w:multiLevelType w:val="multilevel"/>
    <w:tmpl w:val="B3845B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4F20C70"/>
    <w:multiLevelType w:val="multilevel"/>
    <w:tmpl w:val="8C448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A19413C"/>
    <w:multiLevelType w:val="multilevel"/>
    <w:tmpl w:val="A5D8B9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D0F5D95"/>
    <w:multiLevelType w:val="multilevel"/>
    <w:tmpl w:val="F4C831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10A7A04"/>
    <w:multiLevelType w:val="multilevel"/>
    <w:tmpl w:val="5B8444B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3881EA8"/>
    <w:multiLevelType w:val="multilevel"/>
    <w:tmpl w:val="A2AE7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5C74339"/>
    <w:multiLevelType w:val="multilevel"/>
    <w:tmpl w:val="3FDC6D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8275E3C"/>
    <w:multiLevelType w:val="multilevel"/>
    <w:tmpl w:val="EBC0C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1F084B"/>
    <w:multiLevelType w:val="multilevel"/>
    <w:tmpl w:val="992A65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B7C52B0"/>
    <w:multiLevelType w:val="multilevel"/>
    <w:tmpl w:val="01F6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230A43"/>
    <w:multiLevelType w:val="multilevel"/>
    <w:tmpl w:val="DE96AC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53254A5"/>
    <w:multiLevelType w:val="multilevel"/>
    <w:tmpl w:val="2C4CB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CC8579D"/>
    <w:multiLevelType w:val="multilevel"/>
    <w:tmpl w:val="5B8444B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CD30E65"/>
    <w:multiLevelType w:val="multilevel"/>
    <w:tmpl w:val="D0FE2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D200799"/>
    <w:multiLevelType w:val="multilevel"/>
    <w:tmpl w:val="42DC7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D9051B2"/>
    <w:multiLevelType w:val="multilevel"/>
    <w:tmpl w:val="D5E65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4A7472E"/>
    <w:multiLevelType w:val="multilevel"/>
    <w:tmpl w:val="EF8C57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8DB15CB"/>
    <w:multiLevelType w:val="multilevel"/>
    <w:tmpl w:val="924048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95558EE"/>
    <w:multiLevelType w:val="multilevel"/>
    <w:tmpl w:val="C812F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EB336A0"/>
    <w:multiLevelType w:val="multilevel"/>
    <w:tmpl w:val="A24475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F8A73BD"/>
    <w:multiLevelType w:val="multilevel"/>
    <w:tmpl w:val="C1B4A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02A0872"/>
    <w:multiLevelType w:val="multilevel"/>
    <w:tmpl w:val="55204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0950FB0"/>
    <w:multiLevelType w:val="multilevel"/>
    <w:tmpl w:val="EC9838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8CA6A56"/>
    <w:multiLevelType w:val="hybridMultilevel"/>
    <w:tmpl w:val="979A7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A873C7"/>
    <w:multiLevelType w:val="multilevel"/>
    <w:tmpl w:val="C8D2CC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2946437"/>
    <w:multiLevelType w:val="multilevel"/>
    <w:tmpl w:val="A42EE9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3D33E8D"/>
    <w:multiLevelType w:val="multilevel"/>
    <w:tmpl w:val="E82451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67837C3"/>
    <w:multiLevelType w:val="hybridMultilevel"/>
    <w:tmpl w:val="F8CC67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76C24FB1"/>
    <w:multiLevelType w:val="multilevel"/>
    <w:tmpl w:val="140ED2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A8C28A1"/>
    <w:multiLevelType w:val="multilevel"/>
    <w:tmpl w:val="5B8444B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E0147D3"/>
    <w:multiLevelType w:val="multilevel"/>
    <w:tmpl w:val="64D0E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94183571">
    <w:abstractNumId w:val="38"/>
  </w:num>
  <w:num w:numId="2" w16cid:durableId="1633245725">
    <w:abstractNumId w:val="13"/>
  </w:num>
  <w:num w:numId="3" w16cid:durableId="1504588715">
    <w:abstractNumId w:val="30"/>
  </w:num>
  <w:num w:numId="4" w16cid:durableId="1894609245">
    <w:abstractNumId w:val="27"/>
  </w:num>
  <w:num w:numId="5" w16cid:durableId="908535890">
    <w:abstractNumId w:val="26"/>
  </w:num>
  <w:num w:numId="6" w16cid:durableId="1443644560">
    <w:abstractNumId w:val="41"/>
  </w:num>
  <w:num w:numId="7" w16cid:durableId="69935072">
    <w:abstractNumId w:val="4"/>
  </w:num>
  <w:num w:numId="8" w16cid:durableId="1836875671">
    <w:abstractNumId w:val="7"/>
  </w:num>
  <w:num w:numId="9" w16cid:durableId="876746232">
    <w:abstractNumId w:val="22"/>
  </w:num>
  <w:num w:numId="10" w16cid:durableId="1264454038">
    <w:abstractNumId w:val="35"/>
  </w:num>
  <w:num w:numId="11" w16cid:durableId="1427456662">
    <w:abstractNumId w:val="36"/>
  </w:num>
  <w:num w:numId="12" w16cid:durableId="1729649448">
    <w:abstractNumId w:val="16"/>
  </w:num>
  <w:num w:numId="13" w16cid:durableId="1632635512">
    <w:abstractNumId w:val="33"/>
  </w:num>
  <w:num w:numId="14" w16cid:durableId="2110807705">
    <w:abstractNumId w:val="29"/>
  </w:num>
  <w:num w:numId="15" w16cid:durableId="2009401214">
    <w:abstractNumId w:val="20"/>
  </w:num>
  <w:num w:numId="16" w16cid:durableId="245380256">
    <w:abstractNumId w:val="10"/>
  </w:num>
  <w:num w:numId="17" w16cid:durableId="1189218206">
    <w:abstractNumId w:val="31"/>
  </w:num>
  <w:num w:numId="18" w16cid:durableId="1025403962">
    <w:abstractNumId w:val="39"/>
  </w:num>
  <w:num w:numId="19" w16cid:durableId="1514803782">
    <w:abstractNumId w:val="25"/>
  </w:num>
  <w:num w:numId="20" w16cid:durableId="1641421551">
    <w:abstractNumId w:val="21"/>
  </w:num>
  <w:num w:numId="21" w16cid:durableId="18089752">
    <w:abstractNumId w:val="0"/>
  </w:num>
  <w:num w:numId="22" w16cid:durableId="716709598">
    <w:abstractNumId w:val="37"/>
  </w:num>
  <w:num w:numId="23" w16cid:durableId="1160385861">
    <w:abstractNumId w:val="28"/>
  </w:num>
  <w:num w:numId="24" w16cid:durableId="1718118627">
    <w:abstractNumId w:val="17"/>
  </w:num>
  <w:num w:numId="25" w16cid:durableId="1354916647">
    <w:abstractNumId w:val="1"/>
  </w:num>
  <w:num w:numId="26" w16cid:durableId="1788888245">
    <w:abstractNumId w:val="9"/>
  </w:num>
  <w:num w:numId="27" w16cid:durableId="47384310">
    <w:abstractNumId w:val="8"/>
  </w:num>
  <w:num w:numId="28" w16cid:durableId="2635606">
    <w:abstractNumId w:val="24"/>
  </w:num>
  <w:num w:numId="29" w16cid:durableId="1129590974">
    <w:abstractNumId w:val="11"/>
  </w:num>
  <w:num w:numId="30" w16cid:durableId="540216480">
    <w:abstractNumId w:val="12"/>
  </w:num>
  <w:num w:numId="31" w16cid:durableId="229005960">
    <w:abstractNumId w:val="3"/>
  </w:num>
  <w:num w:numId="32" w16cid:durableId="852570249">
    <w:abstractNumId w:val="32"/>
  </w:num>
  <w:num w:numId="33" w16cid:durableId="1927417412">
    <w:abstractNumId w:val="19"/>
  </w:num>
  <w:num w:numId="34" w16cid:durableId="1815445136">
    <w:abstractNumId w:val="40"/>
  </w:num>
  <w:num w:numId="35" w16cid:durableId="334458585">
    <w:abstractNumId w:val="15"/>
  </w:num>
  <w:num w:numId="36" w16cid:durableId="699938033">
    <w:abstractNumId w:val="23"/>
  </w:num>
  <w:num w:numId="37" w16cid:durableId="987175655">
    <w:abstractNumId w:val="14"/>
  </w:num>
  <w:num w:numId="38" w16cid:durableId="915477947">
    <w:abstractNumId w:val="34"/>
  </w:num>
  <w:num w:numId="39" w16cid:durableId="2146241185">
    <w:abstractNumId w:val="6"/>
  </w:num>
  <w:num w:numId="40" w16cid:durableId="1121461537">
    <w:abstractNumId w:val="18"/>
  </w:num>
  <w:num w:numId="41" w16cid:durableId="1075589719">
    <w:abstractNumId w:val="5"/>
  </w:num>
  <w:num w:numId="42" w16cid:durableId="168100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52"/>
    <w:rsid w:val="00003E86"/>
    <w:rsid w:val="000069A6"/>
    <w:rsid w:val="00017F24"/>
    <w:rsid w:val="00022F9E"/>
    <w:rsid w:val="0003112A"/>
    <w:rsid w:val="0003723F"/>
    <w:rsid w:val="00046754"/>
    <w:rsid w:val="0005569E"/>
    <w:rsid w:val="000569BD"/>
    <w:rsid w:val="00057970"/>
    <w:rsid w:val="0009293F"/>
    <w:rsid w:val="000B4C41"/>
    <w:rsid w:val="000D7FF7"/>
    <w:rsid w:val="000E0BF2"/>
    <w:rsid w:val="00100DB5"/>
    <w:rsid w:val="00107021"/>
    <w:rsid w:val="001104B9"/>
    <w:rsid w:val="00132AB9"/>
    <w:rsid w:val="00135BA3"/>
    <w:rsid w:val="001509ED"/>
    <w:rsid w:val="001556EC"/>
    <w:rsid w:val="00162C77"/>
    <w:rsid w:val="00162D69"/>
    <w:rsid w:val="00163EA6"/>
    <w:rsid w:val="00167602"/>
    <w:rsid w:val="00190D6C"/>
    <w:rsid w:val="001A223D"/>
    <w:rsid w:val="001C2B3D"/>
    <w:rsid w:val="001C5479"/>
    <w:rsid w:val="001C5770"/>
    <w:rsid w:val="001C5EE6"/>
    <w:rsid w:val="001E75A9"/>
    <w:rsid w:val="001F45D5"/>
    <w:rsid w:val="00203BEB"/>
    <w:rsid w:val="00214DF0"/>
    <w:rsid w:val="00222688"/>
    <w:rsid w:val="00223630"/>
    <w:rsid w:val="00247FB4"/>
    <w:rsid w:val="00253DF6"/>
    <w:rsid w:val="00281773"/>
    <w:rsid w:val="00294D52"/>
    <w:rsid w:val="002A37DE"/>
    <w:rsid w:val="002A6B15"/>
    <w:rsid w:val="002B294D"/>
    <w:rsid w:val="002D2645"/>
    <w:rsid w:val="002D7B63"/>
    <w:rsid w:val="00311612"/>
    <w:rsid w:val="00312B06"/>
    <w:rsid w:val="00323A2A"/>
    <w:rsid w:val="00336495"/>
    <w:rsid w:val="0035732A"/>
    <w:rsid w:val="00361C44"/>
    <w:rsid w:val="003631B0"/>
    <w:rsid w:val="00394062"/>
    <w:rsid w:val="003958A1"/>
    <w:rsid w:val="003A09D9"/>
    <w:rsid w:val="003D5280"/>
    <w:rsid w:val="004040AB"/>
    <w:rsid w:val="0041458B"/>
    <w:rsid w:val="00414BFB"/>
    <w:rsid w:val="004153A1"/>
    <w:rsid w:val="00423C78"/>
    <w:rsid w:val="00424DB2"/>
    <w:rsid w:val="004604D3"/>
    <w:rsid w:val="00473565"/>
    <w:rsid w:val="004A2880"/>
    <w:rsid w:val="004B1D89"/>
    <w:rsid w:val="004B7D0A"/>
    <w:rsid w:val="004C39BC"/>
    <w:rsid w:val="004C472B"/>
    <w:rsid w:val="004E0DF4"/>
    <w:rsid w:val="004F5D7D"/>
    <w:rsid w:val="004F6778"/>
    <w:rsid w:val="00514B56"/>
    <w:rsid w:val="00527EFA"/>
    <w:rsid w:val="00536013"/>
    <w:rsid w:val="00556DA8"/>
    <w:rsid w:val="00561DDF"/>
    <w:rsid w:val="005909B1"/>
    <w:rsid w:val="00593922"/>
    <w:rsid w:val="005B6EB7"/>
    <w:rsid w:val="005C1E4C"/>
    <w:rsid w:val="005C61E4"/>
    <w:rsid w:val="005C79FA"/>
    <w:rsid w:val="005D5D4C"/>
    <w:rsid w:val="005E6F20"/>
    <w:rsid w:val="005F170A"/>
    <w:rsid w:val="005F242C"/>
    <w:rsid w:val="005F24C6"/>
    <w:rsid w:val="005F7530"/>
    <w:rsid w:val="00611932"/>
    <w:rsid w:val="00613ED4"/>
    <w:rsid w:val="00615986"/>
    <w:rsid w:val="00616C0D"/>
    <w:rsid w:val="006253C1"/>
    <w:rsid w:val="00667791"/>
    <w:rsid w:val="006830AD"/>
    <w:rsid w:val="006B2FB7"/>
    <w:rsid w:val="006C6A52"/>
    <w:rsid w:val="006D78C6"/>
    <w:rsid w:val="006F68FA"/>
    <w:rsid w:val="007027FA"/>
    <w:rsid w:val="00706645"/>
    <w:rsid w:val="00706F8D"/>
    <w:rsid w:val="007164CB"/>
    <w:rsid w:val="0074110C"/>
    <w:rsid w:val="007577D5"/>
    <w:rsid w:val="00767C87"/>
    <w:rsid w:val="00780B89"/>
    <w:rsid w:val="00781C3D"/>
    <w:rsid w:val="00784760"/>
    <w:rsid w:val="00785531"/>
    <w:rsid w:val="00796CFD"/>
    <w:rsid w:val="007A7123"/>
    <w:rsid w:val="007B153A"/>
    <w:rsid w:val="007C12F9"/>
    <w:rsid w:val="007D4C97"/>
    <w:rsid w:val="007E3CF8"/>
    <w:rsid w:val="00801DC0"/>
    <w:rsid w:val="008129CD"/>
    <w:rsid w:val="00822391"/>
    <w:rsid w:val="00842BB7"/>
    <w:rsid w:val="00844E10"/>
    <w:rsid w:val="008648CA"/>
    <w:rsid w:val="008675CE"/>
    <w:rsid w:val="0089409E"/>
    <w:rsid w:val="008B6BA9"/>
    <w:rsid w:val="008D6AF0"/>
    <w:rsid w:val="00905F61"/>
    <w:rsid w:val="00923148"/>
    <w:rsid w:val="00952D8A"/>
    <w:rsid w:val="0095635B"/>
    <w:rsid w:val="00962209"/>
    <w:rsid w:val="00973814"/>
    <w:rsid w:val="00973CF6"/>
    <w:rsid w:val="00990449"/>
    <w:rsid w:val="00994784"/>
    <w:rsid w:val="009A02DD"/>
    <w:rsid w:val="009A1062"/>
    <w:rsid w:val="009A169F"/>
    <w:rsid w:val="009C230E"/>
    <w:rsid w:val="009C5126"/>
    <w:rsid w:val="009C5673"/>
    <w:rsid w:val="009E5B69"/>
    <w:rsid w:val="009F0E83"/>
    <w:rsid w:val="00A5060A"/>
    <w:rsid w:val="00A669E3"/>
    <w:rsid w:val="00A75D14"/>
    <w:rsid w:val="00A808E5"/>
    <w:rsid w:val="00A9423F"/>
    <w:rsid w:val="00AA653E"/>
    <w:rsid w:val="00AC5EC8"/>
    <w:rsid w:val="00AD7D22"/>
    <w:rsid w:val="00AE0559"/>
    <w:rsid w:val="00B1099C"/>
    <w:rsid w:val="00B142C0"/>
    <w:rsid w:val="00B4620F"/>
    <w:rsid w:val="00B572A2"/>
    <w:rsid w:val="00B85C85"/>
    <w:rsid w:val="00B93824"/>
    <w:rsid w:val="00BC1A4D"/>
    <w:rsid w:val="00BC67FE"/>
    <w:rsid w:val="00BC7EEB"/>
    <w:rsid w:val="00BD026A"/>
    <w:rsid w:val="00BD5A6E"/>
    <w:rsid w:val="00BE46FA"/>
    <w:rsid w:val="00BE63FF"/>
    <w:rsid w:val="00BF0853"/>
    <w:rsid w:val="00BF11EF"/>
    <w:rsid w:val="00BF3B23"/>
    <w:rsid w:val="00BF4F9A"/>
    <w:rsid w:val="00BF59FF"/>
    <w:rsid w:val="00BF5D92"/>
    <w:rsid w:val="00C06402"/>
    <w:rsid w:val="00C079F5"/>
    <w:rsid w:val="00C2645D"/>
    <w:rsid w:val="00C357C1"/>
    <w:rsid w:val="00C407FB"/>
    <w:rsid w:val="00C4549F"/>
    <w:rsid w:val="00C454FC"/>
    <w:rsid w:val="00C64273"/>
    <w:rsid w:val="00C91207"/>
    <w:rsid w:val="00C94D01"/>
    <w:rsid w:val="00C97502"/>
    <w:rsid w:val="00CA3245"/>
    <w:rsid w:val="00CA5158"/>
    <w:rsid w:val="00CA5DD7"/>
    <w:rsid w:val="00CA6170"/>
    <w:rsid w:val="00CA6D39"/>
    <w:rsid w:val="00CB6501"/>
    <w:rsid w:val="00CC1832"/>
    <w:rsid w:val="00CE43E0"/>
    <w:rsid w:val="00CF004D"/>
    <w:rsid w:val="00D011B0"/>
    <w:rsid w:val="00D0664B"/>
    <w:rsid w:val="00D151A0"/>
    <w:rsid w:val="00D45940"/>
    <w:rsid w:val="00D5226C"/>
    <w:rsid w:val="00D57661"/>
    <w:rsid w:val="00D60BFF"/>
    <w:rsid w:val="00D709B0"/>
    <w:rsid w:val="00DA497D"/>
    <w:rsid w:val="00DA4B7F"/>
    <w:rsid w:val="00DD0162"/>
    <w:rsid w:val="00DD245E"/>
    <w:rsid w:val="00E13BF7"/>
    <w:rsid w:val="00E1635A"/>
    <w:rsid w:val="00E167C7"/>
    <w:rsid w:val="00E21211"/>
    <w:rsid w:val="00E37D50"/>
    <w:rsid w:val="00E42E18"/>
    <w:rsid w:val="00E444D3"/>
    <w:rsid w:val="00E610C4"/>
    <w:rsid w:val="00E875F4"/>
    <w:rsid w:val="00E87FBC"/>
    <w:rsid w:val="00E942EB"/>
    <w:rsid w:val="00EA3B4E"/>
    <w:rsid w:val="00EC3798"/>
    <w:rsid w:val="00ED7612"/>
    <w:rsid w:val="00F05A33"/>
    <w:rsid w:val="00F446BA"/>
    <w:rsid w:val="00F53593"/>
    <w:rsid w:val="00F77DA2"/>
    <w:rsid w:val="00F83498"/>
    <w:rsid w:val="00F8681E"/>
    <w:rsid w:val="00F918B5"/>
    <w:rsid w:val="00FA00EF"/>
    <w:rsid w:val="00FA4510"/>
    <w:rsid w:val="00FC2259"/>
    <w:rsid w:val="00FD1E19"/>
    <w:rsid w:val="00FE3FC9"/>
    <w:rsid w:val="00FF04A3"/>
    <w:rsid w:val="00FF175B"/>
    <w:rsid w:val="0139E5AF"/>
    <w:rsid w:val="01E93D1A"/>
    <w:rsid w:val="02EE080E"/>
    <w:rsid w:val="036EAABC"/>
    <w:rsid w:val="042E8640"/>
    <w:rsid w:val="049E1A0D"/>
    <w:rsid w:val="04F195A8"/>
    <w:rsid w:val="0503AADC"/>
    <w:rsid w:val="060706D9"/>
    <w:rsid w:val="063B406B"/>
    <w:rsid w:val="067D2C8A"/>
    <w:rsid w:val="077564F5"/>
    <w:rsid w:val="077732FF"/>
    <w:rsid w:val="090FE6C8"/>
    <w:rsid w:val="095582D3"/>
    <w:rsid w:val="0A050289"/>
    <w:rsid w:val="0A3E9287"/>
    <w:rsid w:val="0A54188E"/>
    <w:rsid w:val="0D62793E"/>
    <w:rsid w:val="0E83D376"/>
    <w:rsid w:val="0EC21EC7"/>
    <w:rsid w:val="10A61EBD"/>
    <w:rsid w:val="11E7B7C5"/>
    <w:rsid w:val="12410F04"/>
    <w:rsid w:val="12B6F4F0"/>
    <w:rsid w:val="1356D707"/>
    <w:rsid w:val="155BB847"/>
    <w:rsid w:val="16624BD3"/>
    <w:rsid w:val="17C71B1C"/>
    <w:rsid w:val="193FC927"/>
    <w:rsid w:val="19E84694"/>
    <w:rsid w:val="1ACFFF97"/>
    <w:rsid w:val="1AFC7840"/>
    <w:rsid w:val="1B7442D0"/>
    <w:rsid w:val="1C21CAD8"/>
    <w:rsid w:val="1C535A5F"/>
    <w:rsid w:val="1CD2529D"/>
    <w:rsid w:val="1D03BBAF"/>
    <w:rsid w:val="1D887EAF"/>
    <w:rsid w:val="1D8F5E30"/>
    <w:rsid w:val="1DEE1B9F"/>
    <w:rsid w:val="1E3E10CF"/>
    <w:rsid w:val="1EFD7CA0"/>
    <w:rsid w:val="1F578FB3"/>
    <w:rsid w:val="1FFEE329"/>
    <w:rsid w:val="20200C2F"/>
    <w:rsid w:val="20A4D7BD"/>
    <w:rsid w:val="20B8ED90"/>
    <w:rsid w:val="20F717C0"/>
    <w:rsid w:val="21331C2A"/>
    <w:rsid w:val="233B2FE1"/>
    <w:rsid w:val="23561865"/>
    <w:rsid w:val="2398F6EC"/>
    <w:rsid w:val="23AAFBE7"/>
    <w:rsid w:val="252724FF"/>
    <w:rsid w:val="2540E792"/>
    <w:rsid w:val="255C2F0E"/>
    <w:rsid w:val="26D98C6A"/>
    <w:rsid w:val="28751DCE"/>
    <w:rsid w:val="28AC47FF"/>
    <w:rsid w:val="29971135"/>
    <w:rsid w:val="29AA3F0A"/>
    <w:rsid w:val="29EB3E52"/>
    <w:rsid w:val="2A1556A8"/>
    <w:rsid w:val="2A541E8C"/>
    <w:rsid w:val="2A616203"/>
    <w:rsid w:val="2A689BBD"/>
    <w:rsid w:val="2A6CDBE3"/>
    <w:rsid w:val="2B07FE99"/>
    <w:rsid w:val="2B8232C2"/>
    <w:rsid w:val="2B973034"/>
    <w:rsid w:val="2BF6364C"/>
    <w:rsid w:val="2C31A477"/>
    <w:rsid w:val="2C5134FC"/>
    <w:rsid w:val="2CE288CA"/>
    <w:rsid w:val="2DEB1626"/>
    <w:rsid w:val="2E9F91E9"/>
    <w:rsid w:val="2EE2B0D5"/>
    <w:rsid w:val="2F18FDEA"/>
    <w:rsid w:val="2F1A740B"/>
    <w:rsid w:val="2F4A1080"/>
    <w:rsid w:val="3006864A"/>
    <w:rsid w:val="304C146E"/>
    <w:rsid w:val="3054AAA3"/>
    <w:rsid w:val="30B6498A"/>
    <w:rsid w:val="30F74A31"/>
    <w:rsid w:val="31276965"/>
    <w:rsid w:val="31ACE29B"/>
    <w:rsid w:val="31DD118B"/>
    <w:rsid w:val="33EBFD6E"/>
    <w:rsid w:val="34A3A76F"/>
    <w:rsid w:val="34DF8D2A"/>
    <w:rsid w:val="35C6F933"/>
    <w:rsid w:val="36C6FA5B"/>
    <w:rsid w:val="37E72ACF"/>
    <w:rsid w:val="399D6B4B"/>
    <w:rsid w:val="3A0C116A"/>
    <w:rsid w:val="3AAF908B"/>
    <w:rsid w:val="3AF88DD8"/>
    <w:rsid w:val="3B6550DE"/>
    <w:rsid w:val="3CAA2EE1"/>
    <w:rsid w:val="3CC78C58"/>
    <w:rsid w:val="3CF6A10F"/>
    <w:rsid w:val="3D33DD80"/>
    <w:rsid w:val="3E797F30"/>
    <w:rsid w:val="3EA0DD33"/>
    <w:rsid w:val="40C7BAC3"/>
    <w:rsid w:val="40DFB47D"/>
    <w:rsid w:val="412EFBEB"/>
    <w:rsid w:val="42EA43F6"/>
    <w:rsid w:val="43E169B7"/>
    <w:rsid w:val="4485C821"/>
    <w:rsid w:val="44AA1BF8"/>
    <w:rsid w:val="462A0E85"/>
    <w:rsid w:val="46B89621"/>
    <w:rsid w:val="4762F3BF"/>
    <w:rsid w:val="489D8144"/>
    <w:rsid w:val="4952D658"/>
    <w:rsid w:val="497E092D"/>
    <w:rsid w:val="4B05C207"/>
    <w:rsid w:val="4B749810"/>
    <w:rsid w:val="4B7F8F28"/>
    <w:rsid w:val="4C66B82C"/>
    <w:rsid w:val="4D0D2DE8"/>
    <w:rsid w:val="4DD14092"/>
    <w:rsid w:val="4E5319F3"/>
    <w:rsid w:val="4FB02E99"/>
    <w:rsid w:val="50CE2698"/>
    <w:rsid w:val="51770FFE"/>
    <w:rsid w:val="522404E0"/>
    <w:rsid w:val="529CA7D6"/>
    <w:rsid w:val="53537E08"/>
    <w:rsid w:val="53CB3365"/>
    <w:rsid w:val="5485B662"/>
    <w:rsid w:val="54B61035"/>
    <w:rsid w:val="54DD3F82"/>
    <w:rsid w:val="550C1CB0"/>
    <w:rsid w:val="557BD692"/>
    <w:rsid w:val="55A64152"/>
    <w:rsid w:val="55A98B26"/>
    <w:rsid w:val="55DA9B1B"/>
    <w:rsid w:val="565B2D96"/>
    <w:rsid w:val="56712B28"/>
    <w:rsid w:val="576F10F4"/>
    <w:rsid w:val="58C4D3FB"/>
    <w:rsid w:val="5A1B8694"/>
    <w:rsid w:val="5ADE2E74"/>
    <w:rsid w:val="5B3F0981"/>
    <w:rsid w:val="5C409724"/>
    <w:rsid w:val="5CDCEF3F"/>
    <w:rsid w:val="5D508A6D"/>
    <w:rsid w:val="5D615702"/>
    <w:rsid w:val="5E0CAA00"/>
    <w:rsid w:val="5E13A8B2"/>
    <w:rsid w:val="5E5E3E05"/>
    <w:rsid w:val="5FF3F6AB"/>
    <w:rsid w:val="602A7520"/>
    <w:rsid w:val="60371C98"/>
    <w:rsid w:val="609696D0"/>
    <w:rsid w:val="6097D200"/>
    <w:rsid w:val="6319CB16"/>
    <w:rsid w:val="638D3C25"/>
    <w:rsid w:val="63F75F1D"/>
    <w:rsid w:val="652F4720"/>
    <w:rsid w:val="6586BF91"/>
    <w:rsid w:val="66C4599E"/>
    <w:rsid w:val="66D730F7"/>
    <w:rsid w:val="683010EE"/>
    <w:rsid w:val="689D4951"/>
    <w:rsid w:val="69885B75"/>
    <w:rsid w:val="6A685B60"/>
    <w:rsid w:val="6B04F6D9"/>
    <w:rsid w:val="6C1AC90C"/>
    <w:rsid w:val="6C7252B2"/>
    <w:rsid w:val="6EC27261"/>
    <w:rsid w:val="6F1C3663"/>
    <w:rsid w:val="6F8E9797"/>
    <w:rsid w:val="6F9D4AF3"/>
    <w:rsid w:val="6FB77E29"/>
    <w:rsid w:val="70A5E065"/>
    <w:rsid w:val="70C0CB96"/>
    <w:rsid w:val="70D976B5"/>
    <w:rsid w:val="71051323"/>
    <w:rsid w:val="7144C6A6"/>
    <w:rsid w:val="71714BF4"/>
    <w:rsid w:val="71D32140"/>
    <w:rsid w:val="723E8F6F"/>
    <w:rsid w:val="742108DF"/>
    <w:rsid w:val="7455ED0A"/>
    <w:rsid w:val="75C26FAA"/>
    <w:rsid w:val="76038841"/>
    <w:rsid w:val="78F29379"/>
    <w:rsid w:val="793764BB"/>
    <w:rsid w:val="798AD498"/>
    <w:rsid w:val="7AB17164"/>
    <w:rsid w:val="7BE57466"/>
    <w:rsid w:val="7C7863B0"/>
    <w:rsid w:val="7CB62F6C"/>
    <w:rsid w:val="7E05790D"/>
    <w:rsid w:val="7E49BC34"/>
    <w:rsid w:val="7E583CD7"/>
    <w:rsid w:val="7EAEFF40"/>
    <w:rsid w:val="7FC87113"/>
    <w:rsid w:val="7FDC8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EA4AA"/>
  <w15:chartTrackingRefBased/>
  <w15:docId w15:val="{BBC2B88B-9C39-4ADE-835C-0F736A94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5531"/>
    <w:rPr>
      <w:rFonts w:ascii="Proxima Nova Rg" w:hAnsi="Proxima Nova Rg"/>
    </w:rPr>
  </w:style>
  <w:style w:type="paragraph" w:styleId="Heading1">
    <w:name w:val="heading 1"/>
    <w:basedOn w:val="Normal"/>
    <w:next w:val="Normal"/>
    <w:link w:val="Heading1Char"/>
    <w:uiPriority w:val="9"/>
    <w:qFormat/>
    <w:rsid w:val="00973CF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1832"/>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785531"/>
    <w:pPr>
      <w:tabs>
        <w:tab w:val="center" w:pos="4513"/>
        <w:tab w:val="right" w:pos="9026"/>
      </w:tabs>
    </w:pPr>
  </w:style>
  <w:style w:type="character" w:styleId="FooterChar" w:customStyle="1">
    <w:name w:val="Footer Char"/>
    <w:basedOn w:val="DefaultParagraphFont"/>
    <w:link w:val="Footer"/>
    <w:uiPriority w:val="99"/>
    <w:rsid w:val="00785531"/>
  </w:style>
  <w:style w:type="character" w:styleId="PageNumber">
    <w:name w:val="page number"/>
    <w:basedOn w:val="DefaultParagraphFont"/>
    <w:uiPriority w:val="99"/>
    <w:semiHidden/>
    <w:unhideWhenUsed/>
    <w:rsid w:val="00785531"/>
  </w:style>
  <w:style w:type="character" w:styleId="Strong">
    <w:name w:val="Strong"/>
    <w:basedOn w:val="DefaultParagraphFont"/>
    <w:uiPriority w:val="22"/>
    <w:qFormat/>
    <w:rsid w:val="00785531"/>
    <w:rPr>
      <w:rFonts w:ascii="Proxima Nova Rg" w:hAnsi="Proxima Nova Rg"/>
      <w:b/>
      <w:bCs/>
      <w:i w:val="0"/>
      <w:color w:val="000000" w:themeColor="text1"/>
    </w:rPr>
  </w:style>
  <w:style w:type="character" w:styleId="Hyperlink">
    <w:name w:val="Hyperlink"/>
    <w:basedOn w:val="DefaultParagraphFont"/>
    <w:uiPriority w:val="99"/>
    <w:unhideWhenUsed/>
    <w:qFormat/>
    <w:rsid w:val="00785531"/>
    <w:rPr>
      <w:color w:val="0563C1" w:themeColor="hyperlink"/>
      <w:u w:val="single"/>
    </w:rPr>
  </w:style>
  <w:style w:type="paragraph" w:styleId="ListParagraph">
    <w:name w:val="List Paragraph"/>
    <w:basedOn w:val="Normal"/>
    <w:uiPriority w:val="34"/>
    <w:qFormat/>
    <w:rsid w:val="00785531"/>
    <w:pPr>
      <w:spacing w:after="160" w:line="259" w:lineRule="auto"/>
      <w:ind w:left="720"/>
      <w:contextualSpacing/>
    </w:pPr>
    <w:rPr>
      <w:rFonts w:asciiTheme="minorHAnsi" w:hAnsiTheme="minorHAnsi"/>
      <w:sz w:val="22"/>
      <w:szCs w:val="22"/>
    </w:rPr>
  </w:style>
  <w:style w:type="character" w:styleId="apple-converted-space" w:customStyle="1">
    <w:name w:val="apple-converted-space"/>
    <w:basedOn w:val="DefaultParagraphFont"/>
    <w:rsid w:val="00785531"/>
  </w:style>
  <w:style w:type="character" w:styleId="outlook-search-highlight" w:customStyle="1">
    <w:name w:val="outlook-search-highlight"/>
    <w:basedOn w:val="DefaultParagraphFont"/>
    <w:rsid w:val="00785531"/>
  </w:style>
  <w:style w:type="paragraph" w:styleId="Header">
    <w:name w:val="header"/>
    <w:basedOn w:val="Normal"/>
    <w:link w:val="HeaderChar"/>
    <w:uiPriority w:val="99"/>
    <w:unhideWhenUsed/>
    <w:rsid w:val="00785531"/>
    <w:pPr>
      <w:tabs>
        <w:tab w:val="center" w:pos="4513"/>
        <w:tab w:val="right" w:pos="9026"/>
      </w:tabs>
    </w:pPr>
  </w:style>
  <w:style w:type="character" w:styleId="HeaderChar" w:customStyle="1">
    <w:name w:val="Header Char"/>
    <w:basedOn w:val="DefaultParagraphFont"/>
    <w:link w:val="Header"/>
    <w:uiPriority w:val="99"/>
    <w:rsid w:val="00785531"/>
    <w:rPr>
      <w:rFonts w:ascii="Proxima Nova Rg" w:hAnsi="Proxima Nova Rg"/>
    </w:rPr>
  </w:style>
  <w:style w:type="character" w:styleId="Heading2Char" w:customStyle="1">
    <w:name w:val="Heading 2 Char"/>
    <w:basedOn w:val="DefaultParagraphFont"/>
    <w:link w:val="Heading2"/>
    <w:uiPriority w:val="9"/>
    <w:semiHidden/>
    <w:rsid w:val="00CC1832"/>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semiHidden/>
    <w:unhideWhenUsed/>
    <w:rsid w:val="00FE3FC9"/>
    <w:rPr>
      <w:color w:val="605E5C"/>
      <w:shd w:val="clear" w:color="auto" w:fill="E1DFDD"/>
    </w:rPr>
  </w:style>
  <w:style w:type="character" w:styleId="FollowedHyperlink">
    <w:name w:val="FollowedHyperlink"/>
    <w:basedOn w:val="DefaultParagraphFont"/>
    <w:uiPriority w:val="99"/>
    <w:semiHidden/>
    <w:unhideWhenUsed/>
    <w:rsid w:val="00973CF6"/>
    <w:rPr>
      <w:color w:val="954F72" w:themeColor="followedHyperlink"/>
      <w:u w:val="single"/>
    </w:rPr>
  </w:style>
  <w:style w:type="character" w:styleId="Heading1Char" w:customStyle="1">
    <w:name w:val="Heading 1 Char"/>
    <w:basedOn w:val="DefaultParagraphFont"/>
    <w:link w:val="Heading1"/>
    <w:uiPriority w:val="9"/>
    <w:rsid w:val="00973CF6"/>
    <w:rPr>
      <w:rFonts w:asciiTheme="majorHAnsi" w:hAnsiTheme="majorHAnsi" w:eastAsiaTheme="majorEastAsia" w:cstheme="majorBidi"/>
      <w:color w:val="2F5496" w:themeColor="accent1" w:themeShade="BF"/>
      <w:sz w:val="32"/>
      <w:szCs w:val="32"/>
    </w:rPr>
  </w:style>
  <w:style w:type="paragraph" w:styleId="EndnoteText">
    <w:name w:val="endnote text"/>
    <w:basedOn w:val="Normal"/>
    <w:link w:val="EndnoteTextChar"/>
    <w:uiPriority w:val="99"/>
    <w:unhideWhenUsed/>
    <w:rsid w:val="006830AD"/>
    <w:rPr>
      <w:rFonts w:asciiTheme="minorHAnsi" w:hAnsiTheme="minorHAnsi"/>
      <w:sz w:val="20"/>
      <w:szCs w:val="20"/>
      <w:lang w:val="en-GB"/>
    </w:rPr>
  </w:style>
  <w:style w:type="character" w:styleId="EndnoteTextChar" w:customStyle="1">
    <w:name w:val="Endnote Text Char"/>
    <w:basedOn w:val="DefaultParagraphFont"/>
    <w:link w:val="EndnoteText"/>
    <w:uiPriority w:val="99"/>
    <w:rsid w:val="006830AD"/>
    <w:rPr>
      <w:sz w:val="20"/>
      <w:szCs w:val="20"/>
      <w:lang w:val="en-GB"/>
    </w:rPr>
  </w:style>
  <w:style w:type="character" w:styleId="EndnoteReference">
    <w:name w:val="endnote reference"/>
    <w:basedOn w:val="DefaultParagraphFont"/>
    <w:uiPriority w:val="99"/>
    <w:unhideWhenUsed/>
    <w:rsid w:val="006830AD"/>
    <w:rPr>
      <w:vertAlign w:val="superscript"/>
    </w:rPr>
  </w:style>
  <w:style w:type="character" w:styleId="CommentReference">
    <w:name w:val="annotation reference"/>
    <w:basedOn w:val="DefaultParagraphFont"/>
    <w:uiPriority w:val="99"/>
    <w:semiHidden/>
    <w:unhideWhenUsed/>
    <w:rsid w:val="008129CD"/>
    <w:rPr>
      <w:sz w:val="16"/>
      <w:szCs w:val="16"/>
    </w:rPr>
  </w:style>
  <w:style w:type="paragraph" w:styleId="CommentText">
    <w:name w:val="annotation text"/>
    <w:basedOn w:val="Normal"/>
    <w:link w:val="CommentTextChar"/>
    <w:uiPriority w:val="99"/>
    <w:semiHidden/>
    <w:unhideWhenUsed/>
    <w:rsid w:val="008129CD"/>
    <w:rPr>
      <w:sz w:val="20"/>
      <w:szCs w:val="20"/>
    </w:rPr>
  </w:style>
  <w:style w:type="character" w:styleId="CommentTextChar" w:customStyle="1">
    <w:name w:val="Comment Text Char"/>
    <w:basedOn w:val="DefaultParagraphFont"/>
    <w:link w:val="CommentText"/>
    <w:uiPriority w:val="99"/>
    <w:semiHidden/>
    <w:rsid w:val="008129CD"/>
    <w:rPr>
      <w:rFonts w:ascii="Proxima Nova Rg" w:hAnsi="Proxima Nova Rg"/>
      <w:sz w:val="20"/>
      <w:szCs w:val="20"/>
    </w:rPr>
  </w:style>
  <w:style w:type="paragraph" w:styleId="CommentSubject">
    <w:name w:val="annotation subject"/>
    <w:basedOn w:val="CommentText"/>
    <w:next w:val="CommentText"/>
    <w:link w:val="CommentSubjectChar"/>
    <w:uiPriority w:val="99"/>
    <w:semiHidden/>
    <w:unhideWhenUsed/>
    <w:rsid w:val="008129CD"/>
    <w:rPr>
      <w:b/>
      <w:bCs/>
    </w:rPr>
  </w:style>
  <w:style w:type="character" w:styleId="CommentSubjectChar" w:customStyle="1">
    <w:name w:val="Comment Subject Char"/>
    <w:basedOn w:val="CommentTextChar"/>
    <w:link w:val="CommentSubject"/>
    <w:uiPriority w:val="99"/>
    <w:semiHidden/>
    <w:rsid w:val="008129CD"/>
    <w:rPr>
      <w:rFonts w:ascii="Proxima Nova Rg" w:hAnsi="Proxima Nova Rg"/>
      <w:b/>
      <w:bCs/>
      <w:sz w:val="20"/>
      <w:szCs w:val="20"/>
    </w:rPr>
  </w:style>
  <w:style w:type="paragraph" w:styleId="Revision">
    <w:name w:val="Revision"/>
    <w:hidden/>
    <w:uiPriority w:val="99"/>
    <w:semiHidden/>
    <w:rsid w:val="00FA4510"/>
    <w:rPr>
      <w:rFonts w:ascii="Proxima Nova Rg" w:hAnsi="Proxima Nova Rg"/>
    </w:rPr>
  </w:style>
  <w:style w:type="paragraph" w:styleId="FootnoteText">
    <w:name w:val="footnote text"/>
    <w:basedOn w:val="Normal"/>
    <w:uiPriority w:val="99"/>
    <w:semiHidden/>
    <w:unhideWhenUsed/>
    <w:rsid w:val="43E169B7"/>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3393">
      <w:bodyDiv w:val="1"/>
      <w:marLeft w:val="0"/>
      <w:marRight w:val="0"/>
      <w:marTop w:val="0"/>
      <w:marBottom w:val="0"/>
      <w:divBdr>
        <w:top w:val="none" w:sz="0" w:space="0" w:color="auto"/>
        <w:left w:val="none" w:sz="0" w:space="0" w:color="auto"/>
        <w:bottom w:val="none" w:sz="0" w:space="0" w:color="auto"/>
        <w:right w:val="none" w:sz="0" w:space="0" w:color="auto"/>
      </w:divBdr>
    </w:div>
    <w:div w:id="186987457">
      <w:bodyDiv w:val="1"/>
      <w:marLeft w:val="0"/>
      <w:marRight w:val="0"/>
      <w:marTop w:val="0"/>
      <w:marBottom w:val="0"/>
      <w:divBdr>
        <w:top w:val="none" w:sz="0" w:space="0" w:color="auto"/>
        <w:left w:val="none" w:sz="0" w:space="0" w:color="auto"/>
        <w:bottom w:val="none" w:sz="0" w:space="0" w:color="auto"/>
        <w:right w:val="none" w:sz="0" w:space="0" w:color="auto"/>
      </w:divBdr>
    </w:div>
    <w:div w:id="215818123">
      <w:bodyDiv w:val="1"/>
      <w:marLeft w:val="0"/>
      <w:marRight w:val="0"/>
      <w:marTop w:val="0"/>
      <w:marBottom w:val="0"/>
      <w:divBdr>
        <w:top w:val="none" w:sz="0" w:space="0" w:color="auto"/>
        <w:left w:val="none" w:sz="0" w:space="0" w:color="auto"/>
        <w:bottom w:val="none" w:sz="0" w:space="0" w:color="auto"/>
        <w:right w:val="none" w:sz="0" w:space="0" w:color="auto"/>
      </w:divBdr>
    </w:div>
    <w:div w:id="263657616">
      <w:bodyDiv w:val="1"/>
      <w:marLeft w:val="0"/>
      <w:marRight w:val="0"/>
      <w:marTop w:val="0"/>
      <w:marBottom w:val="0"/>
      <w:divBdr>
        <w:top w:val="none" w:sz="0" w:space="0" w:color="auto"/>
        <w:left w:val="none" w:sz="0" w:space="0" w:color="auto"/>
        <w:bottom w:val="none" w:sz="0" w:space="0" w:color="auto"/>
        <w:right w:val="none" w:sz="0" w:space="0" w:color="auto"/>
      </w:divBdr>
    </w:div>
    <w:div w:id="375396880">
      <w:bodyDiv w:val="1"/>
      <w:marLeft w:val="0"/>
      <w:marRight w:val="0"/>
      <w:marTop w:val="0"/>
      <w:marBottom w:val="0"/>
      <w:divBdr>
        <w:top w:val="none" w:sz="0" w:space="0" w:color="auto"/>
        <w:left w:val="none" w:sz="0" w:space="0" w:color="auto"/>
        <w:bottom w:val="none" w:sz="0" w:space="0" w:color="auto"/>
        <w:right w:val="none" w:sz="0" w:space="0" w:color="auto"/>
      </w:divBdr>
    </w:div>
    <w:div w:id="418261285">
      <w:bodyDiv w:val="1"/>
      <w:marLeft w:val="0"/>
      <w:marRight w:val="0"/>
      <w:marTop w:val="0"/>
      <w:marBottom w:val="0"/>
      <w:divBdr>
        <w:top w:val="none" w:sz="0" w:space="0" w:color="auto"/>
        <w:left w:val="none" w:sz="0" w:space="0" w:color="auto"/>
        <w:bottom w:val="none" w:sz="0" w:space="0" w:color="auto"/>
        <w:right w:val="none" w:sz="0" w:space="0" w:color="auto"/>
      </w:divBdr>
    </w:div>
    <w:div w:id="554393832">
      <w:bodyDiv w:val="1"/>
      <w:marLeft w:val="0"/>
      <w:marRight w:val="0"/>
      <w:marTop w:val="0"/>
      <w:marBottom w:val="0"/>
      <w:divBdr>
        <w:top w:val="none" w:sz="0" w:space="0" w:color="auto"/>
        <w:left w:val="none" w:sz="0" w:space="0" w:color="auto"/>
        <w:bottom w:val="none" w:sz="0" w:space="0" w:color="auto"/>
        <w:right w:val="none" w:sz="0" w:space="0" w:color="auto"/>
      </w:divBdr>
      <w:divsChild>
        <w:div w:id="382674220">
          <w:marLeft w:val="0"/>
          <w:marRight w:val="0"/>
          <w:marTop w:val="0"/>
          <w:marBottom w:val="0"/>
          <w:divBdr>
            <w:top w:val="none" w:sz="0" w:space="0" w:color="auto"/>
            <w:left w:val="none" w:sz="0" w:space="0" w:color="auto"/>
            <w:bottom w:val="none" w:sz="0" w:space="0" w:color="auto"/>
            <w:right w:val="none" w:sz="0" w:space="0" w:color="auto"/>
          </w:divBdr>
          <w:divsChild>
            <w:div w:id="2141067373">
              <w:marLeft w:val="0"/>
              <w:marRight w:val="0"/>
              <w:marTop w:val="0"/>
              <w:marBottom w:val="0"/>
              <w:divBdr>
                <w:top w:val="none" w:sz="0" w:space="0" w:color="auto"/>
                <w:left w:val="none" w:sz="0" w:space="0" w:color="auto"/>
                <w:bottom w:val="none" w:sz="0" w:space="0" w:color="auto"/>
                <w:right w:val="none" w:sz="0" w:space="0" w:color="auto"/>
              </w:divBdr>
              <w:divsChild>
                <w:div w:id="3555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2648">
      <w:bodyDiv w:val="1"/>
      <w:marLeft w:val="0"/>
      <w:marRight w:val="0"/>
      <w:marTop w:val="0"/>
      <w:marBottom w:val="0"/>
      <w:divBdr>
        <w:top w:val="none" w:sz="0" w:space="0" w:color="auto"/>
        <w:left w:val="none" w:sz="0" w:space="0" w:color="auto"/>
        <w:bottom w:val="none" w:sz="0" w:space="0" w:color="auto"/>
        <w:right w:val="none" w:sz="0" w:space="0" w:color="auto"/>
      </w:divBdr>
    </w:div>
    <w:div w:id="607271291">
      <w:bodyDiv w:val="1"/>
      <w:marLeft w:val="0"/>
      <w:marRight w:val="0"/>
      <w:marTop w:val="0"/>
      <w:marBottom w:val="0"/>
      <w:divBdr>
        <w:top w:val="none" w:sz="0" w:space="0" w:color="auto"/>
        <w:left w:val="none" w:sz="0" w:space="0" w:color="auto"/>
        <w:bottom w:val="none" w:sz="0" w:space="0" w:color="auto"/>
        <w:right w:val="none" w:sz="0" w:space="0" w:color="auto"/>
      </w:divBdr>
    </w:div>
    <w:div w:id="736516393">
      <w:bodyDiv w:val="1"/>
      <w:marLeft w:val="0"/>
      <w:marRight w:val="0"/>
      <w:marTop w:val="0"/>
      <w:marBottom w:val="0"/>
      <w:divBdr>
        <w:top w:val="none" w:sz="0" w:space="0" w:color="auto"/>
        <w:left w:val="none" w:sz="0" w:space="0" w:color="auto"/>
        <w:bottom w:val="none" w:sz="0" w:space="0" w:color="auto"/>
        <w:right w:val="none" w:sz="0" w:space="0" w:color="auto"/>
      </w:divBdr>
    </w:div>
    <w:div w:id="742142583">
      <w:bodyDiv w:val="1"/>
      <w:marLeft w:val="0"/>
      <w:marRight w:val="0"/>
      <w:marTop w:val="0"/>
      <w:marBottom w:val="0"/>
      <w:divBdr>
        <w:top w:val="none" w:sz="0" w:space="0" w:color="auto"/>
        <w:left w:val="none" w:sz="0" w:space="0" w:color="auto"/>
        <w:bottom w:val="none" w:sz="0" w:space="0" w:color="auto"/>
        <w:right w:val="none" w:sz="0" w:space="0" w:color="auto"/>
      </w:divBdr>
      <w:divsChild>
        <w:div w:id="813572329">
          <w:marLeft w:val="0"/>
          <w:marRight w:val="0"/>
          <w:marTop w:val="0"/>
          <w:marBottom w:val="0"/>
          <w:divBdr>
            <w:top w:val="none" w:sz="0" w:space="0" w:color="auto"/>
            <w:left w:val="none" w:sz="0" w:space="0" w:color="auto"/>
            <w:bottom w:val="none" w:sz="0" w:space="0" w:color="auto"/>
            <w:right w:val="none" w:sz="0" w:space="0" w:color="auto"/>
          </w:divBdr>
          <w:divsChild>
            <w:div w:id="1159610520">
              <w:marLeft w:val="0"/>
              <w:marRight w:val="0"/>
              <w:marTop w:val="0"/>
              <w:marBottom w:val="0"/>
              <w:divBdr>
                <w:top w:val="none" w:sz="0" w:space="0" w:color="auto"/>
                <w:left w:val="none" w:sz="0" w:space="0" w:color="auto"/>
                <w:bottom w:val="none" w:sz="0" w:space="0" w:color="auto"/>
                <w:right w:val="none" w:sz="0" w:space="0" w:color="auto"/>
              </w:divBdr>
              <w:divsChild>
                <w:div w:id="10883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51750">
      <w:bodyDiv w:val="1"/>
      <w:marLeft w:val="0"/>
      <w:marRight w:val="0"/>
      <w:marTop w:val="0"/>
      <w:marBottom w:val="0"/>
      <w:divBdr>
        <w:top w:val="none" w:sz="0" w:space="0" w:color="auto"/>
        <w:left w:val="none" w:sz="0" w:space="0" w:color="auto"/>
        <w:bottom w:val="none" w:sz="0" w:space="0" w:color="auto"/>
        <w:right w:val="none" w:sz="0" w:space="0" w:color="auto"/>
      </w:divBdr>
    </w:div>
    <w:div w:id="858276634">
      <w:bodyDiv w:val="1"/>
      <w:marLeft w:val="0"/>
      <w:marRight w:val="0"/>
      <w:marTop w:val="0"/>
      <w:marBottom w:val="0"/>
      <w:divBdr>
        <w:top w:val="none" w:sz="0" w:space="0" w:color="auto"/>
        <w:left w:val="none" w:sz="0" w:space="0" w:color="auto"/>
        <w:bottom w:val="none" w:sz="0" w:space="0" w:color="auto"/>
        <w:right w:val="none" w:sz="0" w:space="0" w:color="auto"/>
      </w:divBdr>
    </w:div>
    <w:div w:id="868756111">
      <w:bodyDiv w:val="1"/>
      <w:marLeft w:val="0"/>
      <w:marRight w:val="0"/>
      <w:marTop w:val="0"/>
      <w:marBottom w:val="0"/>
      <w:divBdr>
        <w:top w:val="none" w:sz="0" w:space="0" w:color="auto"/>
        <w:left w:val="none" w:sz="0" w:space="0" w:color="auto"/>
        <w:bottom w:val="none" w:sz="0" w:space="0" w:color="auto"/>
        <w:right w:val="none" w:sz="0" w:space="0" w:color="auto"/>
      </w:divBdr>
    </w:div>
    <w:div w:id="878279819">
      <w:bodyDiv w:val="1"/>
      <w:marLeft w:val="0"/>
      <w:marRight w:val="0"/>
      <w:marTop w:val="0"/>
      <w:marBottom w:val="0"/>
      <w:divBdr>
        <w:top w:val="none" w:sz="0" w:space="0" w:color="auto"/>
        <w:left w:val="none" w:sz="0" w:space="0" w:color="auto"/>
        <w:bottom w:val="none" w:sz="0" w:space="0" w:color="auto"/>
        <w:right w:val="none" w:sz="0" w:space="0" w:color="auto"/>
      </w:divBdr>
    </w:div>
    <w:div w:id="894391406">
      <w:bodyDiv w:val="1"/>
      <w:marLeft w:val="0"/>
      <w:marRight w:val="0"/>
      <w:marTop w:val="0"/>
      <w:marBottom w:val="0"/>
      <w:divBdr>
        <w:top w:val="none" w:sz="0" w:space="0" w:color="auto"/>
        <w:left w:val="none" w:sz="0" w:space="0" w:color="auto"/>
        <w:bottom w:val="none" w:sz="0" w:space="0" w:color="auto"/>
        <w:right w:val="none" w:sz="0" w:space="0" w:color="auto"/>
      </w:divBdr>
    </w:div>
    <w:div w:id="949551716">
      <w:bodyDiv w:val="1"/>
      <w:marLeft w:val="0"/>
      <w:marRight w:val="0"/>
      <w:marTop w:val="0"/>
      <w:marBottom w:val="0"/>
      <w:divBdr>
        <w:top w:val="none" w:sz="0" w:space="0" w:color="auto"/>
        <w:left w:val="none" w:sz="0" w:space="0" w:color="auto"/>
        <w:bottom w:val="none" w:sz="0" w:space="0" w:color="auto"/>
        <w:right w:val="none" w:sz="0" w:space="0" w:color="auto"/>
      </w:divBdr>
    </w:div>
    <w:div w:id="1112474477">
      <w:bodyDiv w:val="1"/>
      <w:marLeft w:val="0"/>
      <w:marRight w:val="0"/>
      <w:marTop w:val="0"/>
      <w:marBottom w:val="0"/>
      <w:divBdr>
        <w:top w:val="none" w:sz="0" w:space="0" w:color="auto"/>
        <w:left w:val="none" w:sz="0" w:space="0" w:color="auto"/>
        <w:bottom w:val="none" w:sz="0" w:space="0" w:color="auto"/>
        <w:right w:val="none" w:sz="0" w:space="0" w:color="auto"/>
      </w:divBdr>
    </w:div>
    <w:div w:id="1174414595">
      <w:bodyDiv w:val="1"/>
      <w:marLeft w:val="0"/>
      <w:marRight w:val="0"/>
      <w:marTop w:val="0"/>
      <w:marBottom w:val="0"/>
      <w:divBdr>
        <w:top w:val="none" w:sz="0" w:space="0" w:color="auto"/>
        <w:left w:val="none" w:sz="0" w:space="0" w:color="auto"/>
        <w:bottom w:val="none" w:sz="0" w:space="0" w:color="auto"/>
        <w:right w:val="none" w:sz="0" w:space="0" w:color="auto"/>
      </w:divBdr>
    </w:div>
    <w:div w:id="1302342475">
      <w:bodyDiv w:val="1"/>
      <w:marLeft w:val="0"/>
      <w:marRight w:val="0"/>
      <w:marTop w:val="0"/>
      <w:marBottom w:val="0"/>
      <w:divBdr>
        <w:top w:val="none" w:sz="0" w:space="0" w:color="auto"/>
        <w:left w:val="none" w:sz="0" w:space="0" w:color="auto"/>
        <w:bottom w:val="none" w:sz="0" w:space="0" w:color="auto"/>
        <w:right w:val="none" w:sz="0" w:space="0" w:color="auto"/>
      </w:divBdr>
      <w:divsChild>
        <w:div w:id="291793969">
          <w:marLeft w:val="0"/>
          <w:marRight w:val="0"/>
          <w:marTop w:val="0"/>
          <w:marBottom w:val="0"/>
          <w:divBdr>
            <w:top w:val="single" w:sz="2" w:space="0" w:color="E5E7EB"/>
            <w:left w:val="single" w:sz="2" w:space="0" w:color="E5E7EB"/>
            <w:bottom w:val="single" w:sz="2" w:space="0" w:color="E5E7EB"/>
            <w:right w:val="single" w:sz="2" w:space="0" w:color="E5E7EB"/>
          </w:divBdr>
          <w:divsChild>
            <w:div w:id="1806654501">
              <w:marLeft w:val="0"/>
              <w:marRight w:val="0"/>
              <w:marTop w:val="0"/>
              <w:marBottom w:val="0"/>
              <w:divBdr>
                <w:top w:val="single" w:sz="2" w:space="0" w:color="auto"/>
                <w:left w:val="single" w:sz="2" w:space="0" w:color="auto"/>
                <w:bottom w:val="single" w:sz="2" w:space="0" w:color="auto"/>
                <w:right w:val="single" w:sz="2" w:space="0" w:color="auto"/>
              </w:divBdr>
              <w:divsChild>
                <w:div w:id="549806260">
                  <w:marLeft w:val="0"/>
                  <w:marRight w:val="0"/>
                  <w:marTop w:val="0"/>
                  <w:marBottom w:val="0"/>
                  <w:divBdr>
                    <w:top w:val="single" w:sz="2" w:space="0" w:color="auto"/>
                    <w:left w:val="single" w:sz="2" w:space="0" w:color="auto"/>
                    <w:bottom w:val="single" w:sz="2" w:space="0" w:color="auto"/>
                    <w:right w:val="single" w:sz="2" w:space="0" w:color="auto"/>
                  </w:divBdr>
                  <w:divsChild>
                    <w:div w:id="1909531047">
                      <w:marLeft w:val="0"/>
                      <w:marRight w:val="0"/>
                      <w:marTop w:val="0"/>
                      <w:marBottom w:val="0"/>
                      <w:divBdr>
                        <w:top w:val="single" w:sz="2" w:space="0" w:color="auto"/>
                        <w:left w:val="single" w:sz="2" w:space="0" w:color="auto"/>
                        <w:bottom w:val="single" w:sz="2" w:space="0" w:color="auto"/>
                        <w:right w:val="single" w:sz="2" w:space="0" w:color="auto"/>
                      </w:divBdr>
                      <w:divsChild>
                        <w:div w:id="1780376092">
                          <w:marLeft w:val="0"/>
                          <w:marRight w:val="0"/>
                          <w:marTop w:val="0"/>
                          <w:marBottom w:val="0"/>
                          <w:divBdr>
                            <w:top w:val="single" w:sz="2" w:space="0" w:color="E5E7EB"/>
                            <w:left w:val="single" w:sz="2" w:space="0" w:color="E5E7EB"/>
                            <w:bottom w:val="single" w:sz="2" w:space="0" w:color="E5E7EB"/>
                            <w:right w:val="single" w:sz="2" w:space="0" w:color="E5E7EB"/>
                          </w:divBdr>
                          <w:divsChild>
                            <w:div w:id="1945070959">
                              <w:marLeft w:val="0"/>
                              <w:marRight w:val="0"/>
                              <w:marTop w:val="0"/>
                              <w:marBottom w:val="0"/>
                              <w:divBdr>
                                <w:top w:val="single" w:sz="2" w:space="0" w:color="E5E7EB"/>
                                <w:left w:val="single" w:sz="2" w:space="0" w:color="E5E7EB"/>
                                <w:bottom w:val="single" w:sz="2" w:space="0" w:color="E5E7EB"/>
                                <w:right w:val="single" w:sz="2" w:space="0" w:color="E5E7EB"/>
                              </w:divBdr>
                              <w:divsChild>
                                <w:div w:id="881673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78057796">
          <w:marLeft w:val="0"/>
          <w:marRight w:val="0"/>
          <w:marTop w:val="0"/>
          <w:marBottom w:val="0"/>
          <w:divBdr>
            <w:top w:val="single" w:sz="2" w:space="0" w:color="E5E7EB"/>
            <w:left w:val="single" w:sz="2" w:space="0" w:color="E5E7EB"/>
            <w:bottom w:val="single" w:sz="2" w:space="0" w:color="E5E7EB"/>
            <w:right w:val="single" w:sz="2" w:space="0" w:color="E5E7EB"/>
          </w:divBdr>
          <w:divsChild>
            <w:div w:id="18700542">
              <w:marLeft w:val="0"/>
              <w:marRight w:val="0"/>
              <w:marTop w:val="0"/>
              <w:marBottom w:val="0"/>
              <w:divBdr>
                <w:top w:val="single" w:sz="2" w:space="0" w:color="auto"/>
                <w:left w:val="single" w:sz="2" w:space="0" w:color="auto"/>
                <w:bottom w:val="single" w:sz="2" w:space="0" w:color="auto"/>
                <w:right w:val="single" w:sz="2" w:space="0" w:color="auto"/>
              </w:divBdr>
              <w:divsChild>
                <w:div w:id="498079283">
                  <w:marLeft w:val="0"/>
                  <w:marRight w:val="0"/>
                  <w:marTop w:val="0"/>
                  <w:marBottom w:val="0"/>
                  <w:divBdr>
                    <w:top w:val="single" w:sz="2" w:space="0" w:color="auto"/>
                    <w:left w:val="single" w:sz="2" w:space="0" w:color="auto"/>
                    <w:bottom w:val="single" w:sz="2" w:space="0" w:color="auto"/>
                    <w:right w:val="single" w:sz="2" w:space="0" w:color="auto"/>
                  </w:divBdr>
                  <w:divsChild>
                    <w:div w:id="1744985892">
                      <w:marLeft w:val="0"/>
                      <w:marRight w:val="0"/>
                      <w:marTop w:val="0"/>
                      <w:marBottom w:val="0"/>
                      <w:divBdr>
                        <w:top w:val="single" w:sz="2" w:space="0" w:color="E5E7EB"/>
                        <w:left w:val="single" w:sz="2" w:space="0" w:color="E5E7EB"/>
                        <w:bottom w:val="single" w:sz="2" w:space="0" w:color="E5E7EB"/>
                        <w:right w:val="single" w:sz="2" w:space="0" w:color="E5E7EB"/>
                      </w:divBdr>
                      <w:divsChild>
                        <w:div w:id="203567774">
                          <w:marLeft w:val="0"/>
                          <w:marRight w:val="0"/>
                          <w:marTop w:val="0"/>
                          <w:marBottom w:val="0"/>
                          <w:divBdr>
                            <w:top w:val="single" w:sz="2" w:space="0" w:color="E5E7EB"/>
                            <w:left w:val="single" w:sz="2" w:space="0" w:color="E5E7EB"/>
                            <w:bottom w:val="single" w:sz="2" w:space="0" w:color="E5E7EB"/>
                            <w:right w:val="single" w:sz="2" w:space="0" w:color="E5E7EB"/>
                          </w:divBdr>
                          <w:divsChild>
                            <w:div w:id="1290355527">
                              <w:marLeft w:val="0"/>
                              <w:marRight w:val="0"/>
                              <w:marTop w:val="0"/>
                              <w:marBottom w:val="0"/>
                              <w:divBdr>
                                <w:top w:val="single" w:sz="2" w:space="0" w:color="E5E7EB"/>
                                <w:left w:val="single" w:sz="2" w:space="0" w:color="E5E7EB"/>
                                <w:bottom w:val="single" w:sz="2" w:space="0" w:color="E5E7EB"/>
                                <w:right w:val="single" w:sz="2" w:space="0" w:color="E5E7EB"/>
                              </w:divBdr>
                              <w:divsChild>
                                <w:div w:id="493691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71894541">
                  <w:marLeft w:val="0"/>
                  <w:marRight w:val="0"/>
                  <w:marTop w:val="0"/>
                  <w:marBottom w:val="0"/>
                  <w:divBdr>
                    <w:top w:val="single" w:sz="2" w:space="0" w:color="auto"/>
                    <w:left w:val="single" w:sz="2" w:space="0" w:color="auto"/>
                    <w:bottom w:val="single" w:sz="2" w:space="0" w:color="auto"/>
                    <w:right w:val="single" w:sz="2" w:space="0" w:color="auto"/>
                  </w:divBdr>
                  <w:divsChild>
                    <w:div w:id="1159420935">
                      <w:marLeft w:val="0"/>
                      <w:marRight w:val="0"/>
                      <w:marTop w:val="0"/>
                      <w:marBottom w:val="0"/>
                      <w:divBdr>
                        <w:top w:val="single" w:sz="2" w:space="0" w:color="E5E7EB"/>
                        <w:left w:val="single" w:sz="2" w:space="0" w:color="E5E7EB"/>
                        <w:bottom w:val="single" w:sz="2" w:space="0" w:color="E5E7EB"/>
                        <w:right w:val="single" w:sz="2" w:space="0" w:color="E5E7EB"/>
                      </w:divBdr>
                      <w:divsChild>
                        <w:div w:id="11617872">
                          <w:marLeft w:val="0"/>
                          <w:marRight w:val="0"/>
                          <w:marTop w:val="0"/>
                          <w:marBottom w:val="0"/>
                          <w:divBdr>
                            <w:top w:val="single" w:sz="2" w:space="0" w:color="E5E7EB"/>
                            <w:left w:val="single" w:sz="2" w:space="0" w:color="E5E7EB"/>
                            <w:bottom w:val="single" w:sz="2" w:space="0" w:color="E5E7EB"/>
                            <w:right w:val="single" w:sz="2" w:space="0" w:color="E5E7EB"/>
                          </w:divBdr>
                          <w:divsChild>
                            <w:div w:id="93015786">
                              <w:marLeft w:val="0"/>
                              <w:marRight w:val="0"/>
                              <w:marTop w:val="0"/>
                              <w:marBottom w:val="0"/>
                              <w:divBdr>
                                <w:top w:val="single" w:sz="2" w:space="0" w:color="E5E7EB"/>
                                <w:left w:val="single" w:sz="2" w:space="0" w:color="E5E7EB"/>
                                <w:bottom w:val="single" w:sz="2" w:space="0" w:color="E5E7EB"/>
                                <w:right w:val="single" w:sz="2" w:space="0" w:color="E5E7EB"/>
                              </w:divBdr>
                              <w:divsChild>
                                <w:div w:id="1464812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6953397">
                          <w:marLeft w:val="0"/>
                          <w:marRight w:val="0"/>
                          <w:marTop w:val="0"/>
                          <w:marBottom w:val="0"/>
                          <w:divBdr>
                            <w:top w:val="single" w:sz="2" w:space="0" w:color="E5E7EB"/>
                            <w:left w:val="single" w:sz="2" w:space="0" w:color="E5E7EB"/>
                            <w:bottom w:val="single" w:sz="2" w:space="0" w:color="E5E7EB"/>
                            <w:right w:val="single" w:sz="2" w:space="0" w:color="E5E7EB"/>
                          </w:divBdr>
                          <w:divsChild>
                            <w:div w:id="11144044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5856256">
                          <w:marLeft w:val="0"/>
                          <w:marRight w:val="0"/>
                          <w:marTop w:val="0"/>
                          <w:marBottom w:val="0"/>
                          <w:divBdr>
                            <w:top w:val="single" w:sz="2" w:space="0" w:color="E5E7EB"/>
                            <w:left w:val="single" w:sz="2" w:space="0" w:color="E5E7EB"/>
                            <w:bottom w:val="single" w:sz="2" w:space="0" w:color="E5E7EB"/>
                            <w:right w:val="single" w:sz="2" w:space="0" w:color="E5E7EB"/>
                          </w:divBdr>
                          <w:divsChild>
                            <w:div w:id="1733113415">
                              <w:marLeft w:val="0"/>
                              <w:marRight w:val="0"/>
                              <w:marTop w:val="0"/>
                              <w:marBottom w:val="0"/>
                              <w:divBdr>
                                <w:top w:val="single" w:sz="2" w:space="0" w:color="E5E7EB"/>
                                <w:left w:val="single" w:sz="2" w:space="0" w:color="E5E7EB"/>
                                <w:bottom w:val="single" w:sz="2" w:space="0" w:color="E5E7EB"/>
                                <w:right w:val="single" w:sz="2" w:space="0" w:color="E5E7EB"/>
                              </w:divBdr>
                              <w:divsChild>
                                <w:div w:id="2141202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341615871">
      <w:bodyDiv w:val="1"/>
      <w:marLeft w:val="0"/>
      <w:marRight w:val="0"/>
      <w:marTop w:val="0"/>
      <w:marBottom w:val="0"/>
      <w:divBdr>
        <w:top w:val="none" w:sz="0" w:space="0" w:color="auto"/>
        <w:left w:val="none" w:sz="0" w:space="0" w:color="auto"/>
        <w:bottom w:val="none" w:sz="0" w:space="0" w:color="auto"/>
        <w:right w:val="none" w:sz="0" w:space="0" w:color="auto"/>
      </w:divBdr>
    </w:div>
    <w:div w:id="1429546536">
      <w:bodyDiv w:val="1"/>
      <w:marLeft w:val="0"/>
      <w:marRight w:val="0"/>
      <w:marTop w:val="0"/>
      <w:marBottom w:val="0"/>
      <w:divBdr>
        <w:top w:val="none" w:sz="0" w:space="0" w:color="auto"/>
        <w:left w:val="none" w:sz="0" w:space="0" w:color="auto"/>
        <w:bottom w:val="none" w:sz="0" w:space="0" w:color="auto"/>
        <w:right w:val="none" w:sz="0" w:space="0" w:color="auto"/>
      </w:divBdr>
      <w:divsChild>
        <w:div w:id="1161967989">
          <w:marLeft w:val="0"/>
          <w:marRight w:val="0"/>
          <w:marTop w:val="0"/>
          <w:marBottom w:val="0"/>
          <w:divBdr>
            <w:top w:val="single" w:sz="2" w:space="0" w:color="E5E7EB"/>
            <w:left w:val="single" w:sz="2" w:space="0" w:color="E5E7EB"/>
            <w:bottom w:val="single" w:sz="2" w:space="0" w:color="E5E7EB"/>
            <w:right w:val="single" w:sz="2" w:space="0" w:color="E5E7EB"/>
          </w:divBdr>
          <w:divsChild>
            <w:div w:id="306014851">
              <w:marLeft w:val="0"/>
              <w:marRight w:val="0"/>
              <w:marTop w:val="0"/>
              <w:marBottom w:val="0"/>
              <w:divBdr>
                <w:top w:val="single" w:sz="2" w:space="0" w:color="auto"/>
                <w:left w:val="single" w:sz="2" w:space="0" w:color="auto"/>
                <w:bottom w:val="single" w:sz="2" w:space="0" w:color="auto"/>
                <w:right w:val="single" w:sz="2" w:space="0" w:color="auto"/>
              </w:divBdr>
              <w:divsChild>
                <w:div w:id="2122721343">
                  <w:marLeft w:val="0"/>
                  <w:marRight w:val="0"/>
                  <w:marTop w:val="0"/>
                  <w:marBottom w:val="0"/>
                  <w:divBdr>
                    <w:top w:val="single" w:sz="2" w:space="0" w:color="auto"/>
                    <w:left w:val="single" w:sz="2" w:space="0" w:color="auto"/>
                    <w:bottom w:val="single" w:sz="2" w:space="0" w:color="auto"/>
                    <w:right w:val="single" w:sz="2" w:space="0" w:color="auto"/>
                  </w:divBdr>
                  <w:divsChild>
                    <w:div w:id="553780568">
                      <w:marLeft w:val="0"/>
                      <w:marRight w:val="0"/>
                      <w:marTop w:val="0"/>
                      <w:marBottom w:val="0"/>
                      <w:divBdr>
                        <w:top w:val="single" w:sz="2" w:space="0" w:color="auto"/>
                        <w:left w:val="single" w:sz="2" w:space="0" w:color="auto"/>
                        <w:bottom w:val="single" w:sz="2" w:space="0" w:color="auto"/>
                        <w:right w:val="single" w:sz="2" w:space="0" w:color="auto"/>
                      </w:divBdr>
                      <w:divsChild>
                        <w:div w:id="102774982">
                          <w:marLeft w:val="0"/>
                          <w:marRight w:val="0"/>
                          <w:marTop w:val="0"/>
                          <w:marBottom w:val="0"/>
                          <w:divBdr>
                            <w:top w:val="single" w:sz="2" w:space="0" w:color="E5E7EB"/>
                            <w:left w:val="single" w:sz="2" w:space="0" w:color="E5E7EB"/>
                            <w:bottom w:val="single" w:sz="2" w:space="0" w:color="E5E7EB"/>
                            <w:right w:val="single" w:sz="2" w:space="0" w:color="E5E7EB"/>
                          </w:divBdr>
                          <w:divsChild>
                            <w:div w:id="1973054905">
                              <w:marLeft w:val="0"/>
                              <w:marRight w:val="0"/>
                              <w:marTop w:val="0"/>
                              <w:marBottom w:val="0"/>
                              <w:divBdr>
                                <w:top w:val="single" w:sz="2" w:space="0" w:color="E5E7EB"/>
                                <w:left w:val="single" w:sz="2" w:space="0" w:color="E5E7EB"/>
                                <w:bottom w:val="single" w:sz="2" w:space="0" w:color="E5E7EB"/>
                                <w:right w:val="single" w:sz="2" w:space="0" w:color="E5E7EB"/>
                              </w:divBdr>
                              <w:divsChild>
                                <w:div w:id="18492503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05612550">
          <w:marLeft w:val="0"/>
          <w:marRight w:val="0"/>
          <w:marTop w:val="0"/>
          <w:marBottom w:val="0"/>
          <w:divBdr>
            <w:top w:val="single" w:sz="2" w:space="0" w:color="E5E7EB"/>
            <w:left w:val="single" w:sz="2" w:space="0" w:color="E5E7EB"/>
            <w:bottom w:val="single" w:sz="2" w:space="0" w:color="E5E7EB"/>
            <w:right w:val="single" w:sz="2" w:space="0" w:color="E5E7EB"/>
          </w:divBdr>
          <w:divsChild>
            <w:div w:id="875967985">
              <w:marLeft w:val="0"/>
              <w:marRight w:val="0"/>
              <w:marTop w:val="0"/>
              <w:marBottom w:val="0"/>
              <w:divBdr>
                <w:top w:val="single" w:sz="2" w:space="0" w:color="auto"/>
                <w:left w:val="single" w:sz="2" w:space="0" w:color="auto"/>
                <w:bottom w:val="single" w:sz="2" w:space="0" w:color="auto"/>
                <w:right w:val="single" w:sz="2" w:space="0" w:color="auto"/>
              </w:divBdr>
              <w:divsChild>
                <w:div w:id="1117990936">
                  <w:marLeft w:val="0"/>
                  <w:marRight w:val="0"/>
                  <w:marTop w:val="0"/>
                  <w:marBottom w:val="0"/>
                  <w:divBdr>
                    <w:top w:val="single" w:sz="2" w:space="0" w:color="auto"/>
                    <w:left w:val="single" w:sz="2" w:space="0" w:color="auto"/>
                    <w:bottom w:val="single" w:sz="2" w:space="0" w:color="auto"/>
                    <w:right w:val="single" w:sz="2" w:space="0" w:color="auto"/>
                  </w:divBdr>
                  <w:divsChild>
                    <w:div w:id="1528639913">
                      <w:marLeft w:val="0"/>
                      <w:marRight w:val="0"/>
                      <w:marTop w:val="0"/>
                      <w:marBottom w:val="0"/>
                      <w:divBdr>
                        <w:top w:val="single" w:sz="2" w:space="0" w:color="E5E7EB"/>
                        <w:left w:val="single" w:sz="2" w:space="0" w:color="E5E7EB"/>
                        <w:bottom w:val="single" w:sz="2" w:space="0" w:color="E5E7EB"/>
                        <w:right w:val="single" w:sz="2" w:space="0" w:color="E5E7EB"/>
                      </w:divBdr>
                      <w:divsChild>
                        <w:div w:id="1375999840">
                          <w:marLeft w:val="0"/>
                          <w:marRight w:val="0"/>
                          <w:marTop w:val="0"/>
                          <w:marBottom w:val="0"/>
                          <w:divBdr>
                            <w:top w:val="single" w:sz="2" w:space="0" w:color="E5E7EB"/>
                            <w:left w:val="single" w:sz="2" w:space="0" w:color="E5E7EB"/>
                            <w:bottom w:val="single" w:sz="2" w:space="0" w:color="E5E7EB"/>
                            <w:right w:val="single" w:sz="2" w:space="0" w:color="E5E7EB"/>
                          </w:divBdr>
                          <w:divsChild>
                            <w:div w:id="804665453">
                              <w:marLeft w:val="0"/>
                              <w:marRight w:val="0"/>
                              <w:marTop w:val="0"/>
                              <w:marBottom w:val="0"/>
                              <w:divBdr>
                                <w:top w:val="single" w:sz="2" w:space="0" w:color="E5E7EB"/>
                                <w:left w:val="single" w:sz="2" w:space="0" w:color="E5E7EB"/>
                                <w:bottom w:val="single" w:sz="2" w:space="0" w:color="E5E7EB"/>
                                <w:right w:val="single" w:sz="2" w:space="0" w:color="E5E7EB"/>
                              </w:divBdr>
                              <w:divsChild>
                                <w:div w:id="1647777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40638076">
                  <w:marLeft w:val="0"/>
                  <w:marRight w:val="0"/>
                  <w:marTop w:val="0"/>
                  <w:marBottom w:val="0"/>
                  <w:divBdr>
                    <w:top w:val="single" w:sz="2" w:space="0" w:color="auto"/>
                    <w:left w:val="single" w:sz="2" w:space="0" w:color="auto"/>
                    <w:bottom w:val="single" w:sz="2" w:space="0" w:color="auto"/>
                    <w:right w:val="single" w:sz="2" w:space="0" w:color="auto"/>
                  </w:divBdr>
                  <w:divsChild>
                    <w:div w:id="331880359">
                      <w:marLeft w:val="0"/>
                      <w:marRight w:val="0"/>
                      <w:marTop w:val="0"/>
                      <w:marBottom w:val="0"/>
                      <w:divBdr>
                        <w:top w:val="single" w:sz="2" w:space="0" w:color="E5E7EB"/>
                        <w:left w:val="single" w:sz="2" w:space="0" w:color="E5E7EB"/>
                        <w:bottom w:val="single" w:sz="2" w:space="0" w:color="E5E7EB"/>
                        <w:right w:val="single" w:sz="2" w:space="0" w:color="E5E7EB"/>
                      </w:divBdr>
                      <w:divsChild>
                        <w:div w:id="493181685">
                          <w:marLeft w:val="0"/>
                          <w:marRight w:val="0"/>
                          <w:marTop w:val="0"/>
                          <w:marBottom w:val="0"/>
                          <w:divBdr>
                            <w:top w:val="single" w:sz="2" w:space="0" w:color="E5E7EB"/>
                            <w:left w:val="single" w:sz="2" w:space="0" w:color="E5E7EB"/>
                            <w:bottom w:val="single" w:sz="2" w:space="0" w:color="E5E7EB"/>
                            <w:right w:val="single" w:sz="2" w:space="0" w:color="E5E7EB"/>
                          </w:divBdr>
                          <w:divsChild>
                            <w:div w:id="148063781">
                              <w:marLeft w:val="0"/>
                              <w:marRight w:val="0"/>
                              <w:marTop w:val="0"/>
                              <w:marBottom w:val="0"/>
                              <w:divBdr>
                                <w:top w:val="single" w:sz="2" w:space="0" w:color="E5E7EB"/>
                                <w:left w:val="single" w:sz="2" w:space="0" w:color="E5E7EB"/>
                                <w:bottom w:val="single" w:sz="2" w:space="0" w:color="E5E7EB"/>
                                <w:right w:val="single" w:sz="2" w:space="0" w:color="E5E7EB"/>
                              </w:divBdr>
                              <w:divsChild>
                                <w:div w:id="861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7112988">
                          <w:marLeft w:val="0"/>
                          <w:marRight w:val="0"/>
                          <w:marTop w:val="0"/>
                          <w:marBottom w:val="0"/>
                          <w:divBdr>
                            <w:top w:val="single" w:sz="2" w:space="0" w:color="E5E7EB"/>
                            <w:left w:val="single" w:sz="2" w:space="0" w:color="E5E7EB"/>
                            <w:bottom w:val="single" w:sz="2" w:space="0" w:color="E5E7EB"/>
                            <w:right w:val="single" w:sz="2" w:space="0" w:color="E5E7EB"/>
                          </w:divBdr>
                          <w:divsChild>
                            <w:div w:id="595986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4333702">
                          <w:marLeft w:val="0"/>
                          <w:marRight w:val="0"/>
                          <w:marTop w:val="0"/>
                          <w:marBottom w:val="0"/>
                          <w:divBdr>
                            <w:top w:val="single" w:sz="2" w:space="0" w:color="E5E7EB"/>
                            <w:left w:val="single" w:sz="2" w:space="0" w:color="E5E7EB"/>
                            <w:bottom w:val="single" w:sz="2" w:space="0" w:color="E5E7EB"/>
                            <w:right w:val="single" w:sz="2" w:space="0" w:color="E5E7EB"/>
                          </w:divBdr>
                          <w:divsChild>
                            <w:div w:id="1967276639">
                              <w:marLeft w:val="0"/>
                              <w:marRight w:val="0"/>
                              <w:marTop w:val="0"/>
                              <w:marBottom w:val="0"/>
                              <w:divBdr>
                                <w:top w:val="single" w:sz="2" w:space="0" w:color="E5E7EB"/>
                                <w:left w:val="single" w:sz="2" w:space="0" w:color="E5E7EB"/>
                                <w:bottom w:val="single" w:sz="2" w:space="0" w:color="E5E7EB"/>
                                <w:right w:val="single" w:sz="2" w:space="0" w:color="E5E7EB"/>
                              </w:divBdr>
                              <w:divsChild>
                                <w:div w:id="22507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440836301">
      <w:bodyDiv w:val="1"/>
      <w:marLeft w:val="0"/>
      <w:marRight w:val="0"/>
      <w:marTop w:val="0"/>
      <w:marBottom w:val="0"/>
      <w:divBdr>
        <w:top w:val="none" w:sz="0" w:space="0" w:color="auto"/>
        <w:left w:val="none" w:sz="0" w:space="0" w:color="auto"/>
        <w:bottom w:val="none" w:sz="0" w:space="0" w:color="auto"/>
        <w:right w:val="none" w:sz="0" w:space="0" w:color="auto"/>
      </w:divBdr>
    </w:div>
    <w:div w:id="1452747188">
      <w:bodyDiv w:val="1"/>
      <w:marLeft w:val="0"/>
      <w:marRight w:val="0"/>
      <w:marTop w:val="0"/>
      <w:marBottom w:val="0"/>
      <w:divBdr>
        <w:top w:val="none" w:sz="0" w:space="0" w:color="auto"/>
        <w:left w:val="none" w:sz="0" w:space="0" w:color="auto"/>
        <w:bottom w:val="none" w:sz="0" w:space="0" w:color="auto"/>
        <w:right w:val="none" w:sz="0" w:space="0" w:color="auto"/>
      </w:divBdr>
    </w:div>
    <w:div w:id="1471825828">
      <w:bodyDiv w:val="1"/>
      <w:marLeft w:val="0"/>
      <w:marRight w:val="0"/>
      <w:marTop w:val="0"/>
      <w:marBottom w:val="0"/>
      <w:divBdr>
        <w:top w:val="none" w:sz="0" w:space="0" w:color="auto"/>
        <w:left w:val="none" w:sz="0" w:space="0" w:color="auto"/>
        <w:bottom w:val="none" w:sz="0" w:space="0" w:color="auto"/>
        <w:right w:val="none" w:sz="0" w:space="0" w:color="auto"/>
      </w:divBdr>
    </w:div>
    <w:div w:id="1489248246">
      <w:bodyDiv w:val="1"/>
      <w:marLeft w:val="0"/>
      <w:marRight w:val="0"/>
      <w:marTop w:val="0"/>
      <w:marBottom w:val="0"/>
      <w:divBdr>
        <w:top w:val="none" w:sz="0" w:space="0" w:color="auto"/>
        <w:left w:val="none" w:sz="0" w:space="0" w:color="auto"/>
        <w:bottom w:val="none" w:sz="0" w:space="0" w:color="auto"/>
        <w:right w:val="none" w:sz="0" w:space="0" w:color="auto"/>
      </w:divBdr>
    </w:div>
    <w:div w:id="1515340214">
      <w:bodyDiv w:val="1"/>
      <w:marLeft w:val="0"/>
      <w:marRight w:val="0"/>
      <w:marTop w:val="0"/>
      <w:marBottom w:val="0"/>
      <w:divBdr>
        <w:top w:val="none" w:sz="0" w:space="0" w:color="auto"/>
        <w:left w:val="none" w:sz="0" w:space="0" w:color="auto"/>
        <w:bottom w:val="none" w:sz="0" w:space="0" w:color="auto"/>
        <w:right w:val="none" w:sz="0" w:space="0" w:color="auto"/>
      </w:divBdr>
    </w:div>
    <w:div w:id="1720011333">
      <w:bodyDiv w:val="1"/>
      <w:marLeft w:val="0"/>
      <w:marRight w:val="0"/>
      <w:marTop w:val="0"/>
      <w:marBottom w:val="0"/>
      <w:divBdr>
        <w:top w:val="none" w:sz="0" w:space="0" w:color="auto"/>
        <w:left w:val="none" w:sz="0" w:space="0" w:color="auto"/>
        <w:bottom w:val="none" w:sz="0" w:space="0" w:color="auto"/>
        <w:right w:val="none" w:sz="0" w:space="0" w:color="auto"/>
      </w:divBdr>
    </w:div>
    <w:div w:id="1747458182">
      <w:bodyDiv w:val="1"/>
      <w:marLeft w:val="0"/>
      <w:marRight w:val="0"/>
      <w:marTop w:val="0"/>
      <w:marBottom w:val="0"/>
      <w:divBdr>
        <w:top w:val="none" w:sz="0" w:space="0" w:color="auto"/>
        <w:left w:val="none" w:sz="0" w:space="0" w:color="auto"/>
        <w:bottom w:val="none" w:sz="0" w:space="0" w:color="auto"/>
        <w:right w:val="none" w:sz="0" w:space="0" w:color="auto"/>
      </w:divBdr>
    </w:div>
    <w:div w:id="1780644742">
      <w:bodyDiv w:val="1"/>
      <w:marLeft w:val="0"/>
      <w:marRight w:val="0"/>
      <w:marTop w:val="0"/>
      <w:marBottom w:val="0"/>
      <w:divBdr>
        <w:top w:val="none" w:sz="0" w:space="0" w:color="auto"/>
        <w:left w:val="none" w:sz="0" w:space="0" w:color="auto"/>
        <w:bottom w:val="none" w:sz="0" w:space="0" w:color="auto"/>
        <w:right w:val="none" w:sz="0" w:space="0" w:color="auto"/>
      </w:divBdr>
    </w:div>
    <w:div w:id="1925217024">
      <w:bodyDiv w:val="1"/>
      <w:marLeft w:val="0"/>
      <w:marRight w:val="0"/>
      <w:marTop w:val="0"/>
      <w:marBottom w:val="0"/>
      <w:divBdr>
        <w:top w:val="none" w:sz="0" w:space="0" w:color="auto"/>
        <w:left w:val="none" w:sz="0" w:space="0" w:color="auto"/>
        <w:bottom w:val="none" w:sz="0" w:space="0" w:color="auto"/>
        <w:right w:val="none" w:sz="0" w:space="0" w:color="auto"/>
      </w:divBdr>
    </w:div>
    <w:div w:id="2033452268">
      <w:bodyDiv w:val="1"/>
      <w:marLeft w:val="0"/>
      <w:marRight w:val="0"/>
      <w:marTop w:val="0"/>
      <w:marBottom w:val="0"/>
      <w:divBdr>
        <w:top w:val="none" w:sz="0" w:space="0" w:color="auto"/>
        <w:left w:val="none" w:sz="0" w:space="0" w:color="auto"/>
        <w:bottom w:val="none" w:sz="0" w:space="0" w:color="auto"/>
        <w:right w:val="none" w:sz="0" w:space="0" w:color="auto"/>
      </w:divBdr>
    </w:div>
    <w:div w:id="2128310874">
      <w:bodyDiv w:val="1"/>
      <w:marLeft w:val="0"/>
      <w:marRight w:val="0"/>
      <w:marTop w:val="0"/>
      <w:marBottom w:val="0"/>
      <w:divBdr>
        <w:top w:val="none" w:sz="0" w:space="0" w:color="auto"/>
        <w:left w:val="none" w:sz="0" w:space="0" w:color="auto"/>
        <w:bottom w:val="none" w:sz="0" w:space="0" w:color="auto"/>
        <w:right w:val="none" w:sz="0" w:space="0" w:color="auto"/>
      </w:divBdr>
    </w:div>
    <w:div w:id="21468546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da.org.au/wp-content/uploads/2020/06/WWDA-Response-to-Education-and-Learning-Issues-Paper.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da.org.au/"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education.gov.au/system/files/2023-12/Women%20With%20Disabilities%20Australia.pdf"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da.org.au/our-resources/publication/royal-commission-into-violence-abuse-neglect-and-exploitation-of-people-with-disability-wwda-response-to-education-and-learning-issues-paper/"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da.org.au/wp-content/uploads/2014/10/WWDA_DES_Report_Final.pdf" TargetMode="External" Id="rId14" /><Relationship Type="http://schemas.openxmlformats.org/officeDocument/2006/relationships/fontTable" Target="fontTable.xml" Id="rId22" /><Relationship Type="http://schemas.openxmlformats.org/officeDocument/2006/relationships/hyperlink" Target="mailto:GenderStudy@jobsandskills.gov.au" TargetMode="External" Id="Rd1657999ab5d4d9e" /></Relationships>
</file>

<file path=word/_rels/endnotes.xml.rels><?xml version="1.0" encoding="UTF-8" standalone="yes"?>
<Relationships xmlns="http://schemas.openxmlformats.org/package/2006/relationships"><Relationship Id="rId2" Type="http://schemas.openxmlformats.org/officeDocument/2006/relationships/hyperlink" Target="https://www.ncver.edu.au/research-and-statistics/data/databuilder" TargetMode="External"/><Relationship Id="rId1" Type="http://schemas.openxmlformats.org/officeDocument/2006/relationships/hyperlink" Target="https://www.jobaccess.gov.au/supported-wage-system-sw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&#65279;<?xml version="1.0" encoding="utf-8"?><Relationships xmlns="http://schemas.openxmlformats.org/package/2006/relationships"><Relationship Type="http://schemas.openxmlformats.org/officeDocument/2006/relationships/image" Target="/media/image7.png" Id="R0b5e63fbd3cb450a" /></Relationships>
</file>

<file path=word/_rels/header1.xml.rels>&#65279;<?xml version="1.0" encoding="utf-8"?><Relationships xmlns="http://schemas.openxmlformats.org/package/2006/relationships"><Relationship Type="http://schemas.openxmlformats.org/officeDocument/2006/relationships/image" Target="/media/image4.png" Id="Rf65503d3981a4e91" /></Relationships>
</file>

<file path=word/_rels/header2.xml.rels>&#65279;<?xml version="1.0" encoding="utf-8"?><Relationships xmlns="http://schemas.openxmlformats.org/package/2006/relationships"><Relationship Type="http://schemas.openxmlformats.org/officeDocument/2006/relationships/image" Target="/media/image5.png" Id="Rf6c1b81a47c04aff"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talie/Library/CloudStorage/GoogleDrive-hello@npcreative.com.au/My%2520Drive/_Clients/CURRENT%2520PROJECTS/Women%2520with%2520Disabilities%2520Australia/_Internal/Branding%2520Assets/Letters/Supplied/June%25202024/WWDA_Letterhead_Master_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6011e-0bc1-400e-8718-03065ef0fa1f" xsi:nil="true"/>
    <lcf76f155ced4ddcb4097134ff3c332f xmlns="b0fe1708-d5fa-4d99-bb2a-88551b2d30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216419CF9F66469BE5365C52291624" ma:contentTypeVersion="12" ma:contentTypeDescription="Create a new document." ma:contentTypeScope="" ma:versionID="5f168a9a41fc9aa69687f86aeeb496ae">
  <xsd:schema xmlns:xsd="http://www.w3.org/2001/XMLSchema" xmlns:xs="http://www.w3.org/2001/XMLSchema" xmlns:p="http://schemas.microsoft.com/office/2006/metadata/properties" xmlns:ns2="b0fe1708-d5fa-4d99-bb2a-88551b2d309b" xmlns:ns3="c496011e-0bc1-400e-8718-03065ef0fa1f" targetNamespace="http://schemas.microsoft.com/office/2006/metadata/properties" ma:root="true" ma:fieldsID="cb29ef05c025876c651ff42848352d90" ns2:_="" ns3:_="">
    <xsd:import namespace="b0fe1708-d5fa-4d99-bb2a-88551b2d309b"/>
    <xsd:import namespace="c496011e-0bc1-400e-8718-03065ef0f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e1708-d5fa-4d99-bb2a-88551b2d3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b73f19-8d91-4d09-883f-553b658e92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96011e-0bc1-400e-8718-03065ef0fa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0b9ad21-7fcd-4d1a-ad0a-1e77e7cc44ac}" ma:internalName="TaxCatchAll" ma:showField="CatchAllData" ma:web="c496011e-0bc1-400e-8718-03065ef0f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8493D-9195-4FD7-B57B-587528906457}">
  <ds:schemaRefs>
    <ds:schemaRef ds:uri="http://schemas.microsoft.com/office/2006/metadata/properties"/>
    <ds:schemaRef ds:uri="http://schemas.microsoft.com/office/infopath/2007/PartnerControls"/>
    <ds:schemaRef ds:uri="c496011e-0bc1-400e-8718-03065ef0fa1f"/>
    <ds:schemaRef ds:uri="b0fe1708-d5fa-4d99-bb2a-88551b2d309b"/>
  </ds:schemaRefs>
</ds:datastoreItem>
</file>

<file path=customXml/itemProps2.xml><?xml version="1.0" encoding="utf-8"?>
<ds:datastoreItem xmlns:ds="http://schemas.openxmlformats.org/officeDocument/2006/customXml" ds:itemID="{F3668E20-71A8-4F21-A9F1-83BF9131745A}">
  <ds:schemaRefs>
    <ds:schemaRef ds:uri="http://schemas.microsoft.com/sharepoint/v3/contenttype/forms"/>
  </ds:schemaRefs>
</ds:datastoreItem>
</file>

<file path=customXml/itemProps3.xml><?xml version="1.0" encoding="utf-8"?>
<ds:datastoreItem xmlns:ds="http://schemas.openxmlformats.org/officeDocument/2006/customXml" ds:itemID="{A0AEDFE1-B136-3349-B320-4FF951E99733}">
  <ds:schemaRefs>
    <ds:schemaRef ds:uri="http://schemas.openxmlformats.org/officeDocument/2006/bibliography"/>
  </ds:schemaRefs>
</ds:datastoreItem>
</file>

<file path=customXml/itemProps4.xml><?xml version="1.0" encoding="utf-8"?>
<ds:datastoreItem xmlns:ds="http://schemas.openxmlformats.org/officeDocument/2006/customXml" ds:itemID="{2C7C80A6-166F-48CE-832B-EAC5179F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e1708-d5fa-4d99-bb2a-88551b2d309b"/>
    <ds:schemaRef ds:uri="c496011e-0bc1-400e-8718-03065ef0f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WWDA_Letterhead_Master_FI</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Comms | Women With Disabilities Australia</lastModifiedBy>
  <revision>6</revision>
  <dcterms:created xsi:type="dcterms:W3CDTF">2025-03-06T02:12:00.0000000Z</dcterms:created>
  <dcterms:modified xsi:type="dcterms:W3CDTF">2025-03-11T02:58:09.1090100Z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0x0101000B216419CF9F66469BE5365C52291624</vt:lpwstr>
  </property>
  <property fmtid="{D5CDD505-2E9C-101B-9397-08002B2CF9AE}" pid="3" name="Order">
    <vt:r8>36000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ZOTERO_PREF_1">
    <vt:lpwstr>&lt;data data-version="3" zotero-version="7.0.13"&gt;&lt;session id="nIEgUdpD"/&gt;&lt;style id="http://www.zotero.org/styles/modern-humanities-research-association" hasBibliography="1" bibliographyStyleHasBeenSet="0"/&gt;&lt;prefs&gt;&lt;pref name="fieldType" value="Field"/&gt;&lt;pref </vt:lpwstr>
  </property>
  <property fmtid="{D5CDD505-2E9C-101B-9397-08002B2CF9AE}" pid="14" name="ZOTERO_PREF_2">
    <vt:lpwstr>name="automaticJournalAbbreviations" value="true"/&gt;&lt;pref name="noteType" value="2"/&gt;&lt;/prefs&gt;&lt;/data&gt;</vt:lpwstr>
  </property>
</Properties>
</file>