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4F353" w14:textId="77777777" w:rsidR="00F26A5A" w:rsidRDefault="00F26A5A" w:rsidP="00F26A5A">
      <w:pPr>
        <w:spacing w:after="240" w:line="501" w:lineRule="auto"/>
        <w:jc w:val="center"/>
        <w:rPr>
          <w:rFonts w:ascii="Figtree" w:eastAsia="Figtree" w:hAnsi="Figtree" w:cs="Figtree"/>
          <w:b/>
          <w:color w:val="0F4C81"/>
          <w:sz w:val="40"/>
          <w:szCs w:val="40"/>
        </w:rPr>
      </w:pPr>
      <w:r>
        <w:rPr>
          <w:rFonts w:ascii="Figtree" w:eastAsia="Figtree" w:hAnsi="Figtree" w:cs="Figtree"/>
          <w:b/>
          <w:noProof/>
          <w:color w:val="0F4C81"/>
          <w:sz w:val="40"/>
          <w:szCs w:val="40"/>
        </w:rPr>
        <w:drawing>
          <wp:inline distT="114300" distB="114300" distL="114300" distR="114300" wp14:anchorId="4459EF1E" wp14:editId="493727EA">
            <wp:extent cx="2328863" cy="10495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328863" cy="1049520"/>
                    </a:xfrm>
                    <a:prstGeom prst="rect">
                      <a:avLst/>
                    </a:prstGeom>
                    <a:ln/>
                  </pic:spPr>
                </pic:pic>
              </a:graphicData>
            </a:graphic>
          </wp:inline>
        </w:drawing>
      </w:r>
      <w:r>
        <w:rPr>
          <w:rFonts w:ascii="Figtree" w:eastAsia="Figtree" w:hAnsi="Figtree" w:cs="Figtree"/>
          <w:b/>
          <w:noProof/>
          <w:color w:val="0F4C81"/>
          <w:sz w:val="40"/>
          <w:szCs w:val="40"/>
        </w:rPr>
        <w:drawing>
          <wp:inline distT="114300" distB="114300" distL="114300" distR="114300" wp14:anchorId="640329ED" wp14:editId="18AA80A7">
            <wp:extent cx="2890838" cy="1126685"/>
            <wp:effectExtent l="0" t="0" r="0" b="0"/>
            <wp:docPr id="2" name="image2.png" descr="A close-up of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2.png" descr="A close-up of a logo&#10;&#10;AI-generated content may be incorrect."/>
                    <pic:cNvPicPr preferRelativeResize="0"/>
                  </pic:nvPicPr>
                  <pic:blipFill>
                    <a:blip r:embed="rId9"/>
                    <a:srcRect/>
                    <a:stretch>
                      <a:fillRect/>
                    </a:stretch>
                  </pic:blipFill>
                  <pic:spPr>
                    <a:xfrm>
                      <a:off x="0" y="0"/>
                      <a:ext cx="2890838" cy="1126685"/>
                    </a:xfrm>
                    <a:prstGeom prst="rect">
                      <a:avLst/>
                    </a:prstGeom>
                    <a:ln/>
                  </pic:spPr>
                </pic:pic>
              </a:graphicData>
            </a:graphic>
          </wp:inline>
        </w:drawing>
      </w:r>
      <w:r>
        <w:rPr>
          <w:rFonts w:ascii="Figtree" w:eastAsia="Figtree" w:hAnsi="Figtree" w:cs="Figtree"/>
          <w:b/>
          <w:color w:val="0F4C81"/>
          <w:sz w:val="40"/>
          <w:szCs w:val="40"/>
        </w:rPr>
        <w:t xml:space="preserve"> </w:t>
      </w:r>
    </w:p>
    <w:p w14:paraId="75B7823A" w14:textId="77777777" w:rsidR="00F26A5A" w:rsidRDefault="00F26A5A" w:rsidP="00F26A5A">
      <w:pPr>
        <w:spacing w:after="240" w:line="501" w:lineRule="auto"/>
        <w:rPr>
          <w:rFonts w:ascii="Figtree" w:eastAsia="Figtree" w:hAnsi="Figtree" w:cs="Figtree"/>
          <w:b/>
          <w:color w:val="0F4C81"/>
          <w:sz w:val="40"/>
          <w:szCs w:val="40"/>
        </w:rPr>
      </w:pPr>
      <w:r>
        <w:rPr>
          <w:rFonts w:ascii="Figtree" w:eastAsia="Figtree" w:hAnsi="Figtree" w:cs="Figtree"/>
          <w:b/>
          <w:color w:val="0F4C81"/>
          <w:sz w:val="40"/>
          <w:szCs w:val="40"/>
        </w:rPr>
        <w:t xml:space="preserve"> </w:t>
      </w:r>
    </w:p>
    <w:p w14:paraId="1C0BEB6D" w14:textId="77777777" w:rsidR="00F26A5A" w:rsidRDefault="00F26A5A" w:rsidP="00F26A5A">
      <w:pPr>
        <w:spacing w:after="240" w:line="501" w:lineRule="auto"/>
        <w:rPr>
          <w:rFonts w:ascii="Figtree" w:eastAsia="Figtree" w:hAnsi="Figtree" w:cs="Figtree"/>
          <w:b/>
          <w:color w:val="0F4C81"/>
          <w:sz w:val="40"/>
          <w:szCs w:val="40"/>
        </w:rPr>
      </w:pPr>
      <w:r>
        <w:rPr>
          <w:rFonts w:ascii="Figtree" w:eastAsia="Figtree" w:hAnsi="Figtree" w:cs="Figtree"/>
          <w:b/>
          <w:color w:val="0F4C81"/>
          <w:sz w:val="40"/>
          <w:szCs w:val="40"/>
        </w:rPr>
        <w:t xml:space="preserve"> </w:t>
      </w:r>
    </w:p>
    <w:p w14:paraId="10536DEC" w14:textId="77777777" w:rsidR="00F26A5A" w:rsidRDefault="00F26A5A" w:rsidP="00F26A5A">
      <w:pPr>
        <w:spacing w:line="501" w:lineRule="auto"/>
        <w:rPr>
          <w:rFonts w:ascii="Figtree" w:eastAsia="Figtree" w:hAnsi="Figtree" w:cs="Figtree"/>
          <w:b/>
          <w:color w:val="2F5496"/>
          <w:sz w:val="56"/>
          <w:szCs w:val="56"/>
        </w:rPr>
      </w:pPr>
    </w:p>
    <w:p w14:paraId="6BACA87C" w14:textId="77777777" w:rsidR="00F26A5A" w:rsidRDefault="00F26A5A" w:rsidP="00F26A5A">
      <w:pPr>
        <w:spacing w:line="501" w:lineRule="auto"/>
        <w:rPr>
          <w:rFonts w:ascii="Figtree" w:eastAsia="Figtree" w:hAnsi="Figtree" w:cs="Figtree"/>
          <w:b/>
          <w:color w:val="2F5496"/>
          <w:sz w:val="44"/>
          <w:szCs w:val="44"/>
        </w:rPr>
      </w:pPr>
      <w:r>
        <w:rPr>
          <w:rFonts w:ascii="Figtree" w:eastAsia="Figtree" w:hAnsi="Figtree" w:cs="Figtree"/>
          <w:b/>
          <w:color w:val="2F5496"/>
          <w:sz w:val="56"/>
          <w:szCs w:val="56"/>
        </w:rPr>
        <w:t>Joint Submission</w:t>
      </w:r>
    </w:p>
    <w:p w14:paraId="59C88E43" w14:textId="77777777" w:rsidR="00F26A5A" w:rsidRDefault="00F26A5A" w:rsidP="00F26A5A">
      <w:pPr>
        <w:spacing w:after="120" w:line="301" w:lineRule="auto"/>
        <w:rPr>
          <w:rFonts w:ascii="Figtree" w:eastAsia="Figtree" w:hAnsi="Figtree" w:cs="Figtree"/>
        </w:rPr>
      </w:pPr>
      <w:r>
        <w:rPr>
          <w:rFonts w:ascii="Figtree" w:eastAsia="Figtree" w:hAnsi="Figtree" w:cs="Figtree"/>
        </w:rPr>
        <w:t>Response to the CRPD Committee’s call for Submissions</w:t>
      </w:r>
    </w:p>
    <w:p w14:paraId="7E068BDC" w14:textId="77777777" w:rsidR="00F26A5A" w:rsidRDefault="00F26A5A" w:rsidP="00F26A5A">
      <w:pPr>
        <w:spacing w:after="120" w:line="301" w:lineRule="auto"/>
        <w:rPr>
          <w:rFonts w:ascii="Figtree" w:eastAsia="Figtree" w:hAnsi="Figtree" w:cs="Figtree"/>
        </w:rPr>
      </w:pPr>
      <w:r>
        <w:rPr>
          <w:rFonts w:ascii="Figtree" w:eastAsia="Figtree" w:hAnsi="Figtree" w:cs="Figtree"/>
        </w:rPr>
        <w:t>Draft guidelines on addressing multiple and intersectional forms of discrimination against women and girls with disabilities</w:t>
      </w:r>
    </w:p>
    <w:p w14:paraId="5C3069DC" w14:textId="77777777" w:rsidR="00F26A5A" w:rsidRDefault="00F26A5A" w:rsidP="00F26A5A">
      <w:pPr>
        <w:spacing w:after="120"/>
        <w:rPr>
          <w:rFonts w:ascii="Figtree" w:eastAsia="Figtree" w:hAnsi="Figtree" w:cs="Figtree"/>
          <w:b/>
          <w:color w:val="662266"/>
        </w:rPr>
      </w:pPr>
      <w:r>
        <w:rPr>
          <w:rFonts w:ascii="Figtree" w:eastAsia="Figtree" w:hAnsi="Figtree" w:cs="Figtree"/>
        </w:rPr>
        <w:t xml:space="preserve">Joint submission by People </w:t>
      </w:r>
      <w:proofErr w:type="gramStart"/>
      <w:r>
        <w:rPr>
          <w:rFonts w:ascii="Figtree" w:eastAsia="Figtree" w:hAnsi="Figtree" w:cs="Figtree"/>
        </w:rPr>
        <w:t>With</w:t>
      </w:r>
      <w:proofErr w:type="gramEnd"/>
      <w:r>
        <w:rPr>
          <w:rFonts w:ascii="Figtree" w:eastAsia="Figtree" w:hAnsi="Figtree" w:cs="Figtree"/>
        </w:rPr>
        <w:t xml:space="preserve"> Disability Australia (PWDA) and Women </w:t>
      </w:r>
      <w:proofErr w:type="gramStart"/>
      <w:r>
        <w:rPr>
          <w:rFonts w:ascii="Figtree" w:eastAsia="Figtree" w:hAnsi="Figtree" w:cs="Figtree"/>
        </w:rPr>
        <w:t>With</w:t>
      </w:r>
      <w:proofErr w:type="gramEnd"/>
      <w:r>
        <w:rPr>
          <w:rFonts w:ascii="Figtree" w:eastAsia="Figtree" w:hAnsi="Figtree" w:cs="Figtree"/>
        </w:rPr>
        <w:t xml:space="preserve"> Disabilities Australia (WWDA).</w:t>
      </w:r>
    </w:p>
    <w:p w14:paraId="485A0F56" w14:textId="77777777" w:rsidR="00F26A5A" w:rsidRDefault="00F26A5A" w:rsidP="00F26A5A">
      <w:pPr>
        <w:rPr>
          <w:rFonts w:ascii="Figtree" w:eastAsia="Figtree" w:hAnsi="Figtree" w:cs="Figtree"/>
          <w:b/>
          <w:color w:val="662266"/>
          <w:sz w:val="28"/>
          <w:szCs w:val="28"/>
        </w:rPr>
      </w:pPr>
    </w:p>
    <w:p w14:paraId="420B3E18" w14:textId="77777777" w:rsidR="00F26A5A" w:rsidRDefault="00F26A5A" w:rsidP="00F26A5A">
      <w:pPr>
        <w:rPr>
          <w:rFonts w:ascii="Figtree" w:eastAsia="Figtree" w:hAnsi="Figtree" w:cs="Figtree"/>
          <w:b/>
          <w:color w:val="662266"/>
          <w:sz w:val="28"/>
          <w:szCs w:val="28"/>
        </w:rPr>
      </w:pPr>
      <w:r>
        <w:rPr>
          <w:rFonts w:ascii="Figtree" w:eastAsia="Figtree" w:hAnsi="Figtree" w:cs="Figtree"/>
          <w:b/>
          <w:color w:val="662266"/>
          <w:sz w:val="28"/>
          <w:szCs w:val="28"/>
        </w:rPr>
        <w:t>2 October 2025</w:t>
      </w:r>
    </w:p>
    <w:p w14:paraId="1E6C08CD" w14:textId="18A09FC1" w:rsidR="00F26A5A" w:rsidRDefault="00F26A5A">
      <w:pPr>
        <w:spacing w:after="160" w:line="278" w:lineRule="auto"/>
        <w:rPr>
          <w:rFonts w:ascii="Helvetica" w:eastAsia="Helvetica" w:hAnsi="Helvetica" w:cs="Helvetica"/>
        </w:rPr>
      </w:pPr>
      <w:r>
        <w:rPr>
          <w:rFonts w:ascii="Helvetica" w:eastAsia="Helvetica" w:hAnsi="Helvetica" w:cs="Helvetica"/>
        </w:rPr>
        <w:br w:type="page"/>
      </w:r>
    </w:p>
    <w:p w14:paraId="651D7B9D" w14:textId="77777777" w:rsidR="2E496A95" w:rsidRPr="00F659D8" w:rsidRDefault="2E496A95" w:rsidP="6E52703F">
      <w:pPr>
        <w:rPr>
          <w:rFonts w:ascii="Helvetica" w:eastAsia="Helvetica" w:hAnsi="Helvetica" w:cs="Helvetica"/>
        </w:rPr>
      </w:pPr>
    </w:p>
    <w:p w14:paraId="30220736" w14:textId="77777777" w:rsidR="000B2F0D" w:rsidRDefault="000B2F0D" w:rsidP="000B2F0D">
      <w:pPr>
        <w:spacing w:after="120"/>
        <w:rPr>
          <w:rFonts w:ascii="Figtree" w:eastAsia="Figtree" w:hAnsi="Figtree" w:cs="Figtree"/>
        </w:rPr>
      </w:pPr>
      <w:r>
        <w:rPr>
          <w:rFonts w:ascii="Figtree" w:eastAsia="Figtree" w:hAnsi="Figtree" w:cs="Figtree"/>
          <w:b/>
          <w:color w:val="662266"/>
          <w:sz w:val="28"/>
          <w:szCs w:val="28"/>
        </w:rPr>
        <w:t>Table of Contents</w:t>
      </w:r>
      <w:r>
        <w:rPr>
          <w:rFonts w:ascii="Figtree" w:eastAsia="Figtree" w:hAnsi="Figtree" w:cs="Figtree"/>
        </w:rPr>
        <w:t xml:space="preserve"> </w:t>
      </w:r>
    </w:p>
    <w:p w14:paraId="1EE97759" w14:textId="58BC9AFB" w:rsidR="006A70C9" w:rsidRDefault="006A70C9" w:rsidP="006A70C9">
      <w:pPr>
        <w:spacing w:after="100"/>
        <w:rPr>
          <w:rFonts w:ascii="Figtree" w:eastAsia="Figtree" w:hAnsi="Figtree" w:cs="Figtree"/>
        </w:rPr>
      </w:pPr>
      <w:r>
        <w:rPr>
          <w:rFonts w:ascii="Figtree" w:eastAsia="Figtree" w:hAnsi="Figtree" w:cs="Figtree"/>
        </w:rPr>
        <w:t>Table of Contents............................................................................................................................2</w:t>
      </w:r>
    </w:p>
    <w:p w14:paraId="7D94566A" w14:textId="6C5E45FC" w:rsidR="006A70C9" w:rsidRDefault="006A70C9" w:rsidP="006A70C9">
      <w:pPr>
        <w:spacing w:after="100"/>
        <w:rPr>
          <w:rFonts w:ascii="Figtree" w:eastAsia="Figtree" w:hAnsi="Figtree" w:cs="Figtree"/>
        </w:rPr>
      </w:pPr>
      <w:r>
        <w:rPr>
          <w:rFonts w:ascii="Figtree" w:eastAsia="Figtree" w:hAnsi="Figtree" w:cs="Figtree"/>
        </w:rPr>
        <w:t>Introduction....................................................................................................................................3</w:t>
      </w:r>
    </w:p>
    <w:p w14:paraId="3EC40C7B" w14:textId="22D082E6" w:rsidR="006A70C9" w:rsidRDefault="006A70C9" w:rsidP="006A70C9">
      <w:pPr>
        <w:numPr>
          <w:ilvl w:val="0"/>
          <w:numId w:val="28"/>
        </w:numPr>
        <w:spacing w:after="100" w:line="276" w:lineRule="auto"/>
        <w:rPr>
          <w:rFonts w:ascii="Figtree" w:eastAsia="Figtree" w:hAnsi="Figtree" w:cs="Figtree"/>
        </w:rPr>
      </w:pPr>
      <w:r>
        <w:rPr>
          <w:rFonts w:ascii="Figtree" w:eastAsia="Figtree" w:hAnsi="Figtree" w:cs="Figtree"/>
        </w:rPr>
        <w:t>Do the anti-discrimination legislation and/or policy frameworks in force in your country recognise disability and the denial of reasonable accommodation as prohibited forms of discrimination against persons with disabilities?.........................................................................................................................4</w:t>
      </w:r>
    </w:p>
    <w:p w14:paraId="021F9AC9" w14:textId="77777777" w:rsidR="006A70C9" w:rsidRDefault="006A70C9" w:rsidP="006A70C9">
      <w:pPr>
        <w:spacing w:after="100"/>
        <w:ind w:left="720"/>
        <w:rPr>
          <w:rFonts w:ascii="Figtree" w:eastAsia="Figtree" w:hAnsi="Figtree" w:cs="Figtree"/>
        </w:rPr>
      </w:pPr>
    </w:p>
    <w:p w14:paraId="1181CB2B" w14:textId="2104FABB" w:rsidR="006A70C9" w:rsidRDefault="006A70C9" w:rsidP="006A70C9">
      <w:pPr>
        <w:numPr>
          <w:ilvl w:val="0"/>
          <w:numId w:val="28"/>
        </w:numPr>
        <w:spacing w:after="100" w:line="276" w:lineRule="auto"/>
        <w:rPr>
          <w:rFonts w:ascii="Figtree" w:eastAsia="Figtree" w:hAnsi="Figtree" w:cs="Figtree"/>
        </w:rPr>
      </w:pPr>
      <w:r>
        <w:rPr>
          <w:rFonts w:ascii="Figtree" w:eastAsia="Figtree" w:hAnsi="Figtree" w:cs="Figtree"/>
        </w:rPr>
        <w:t>Do the anti-discrimination legislation and/or policy frameworks in force in your country recognise the multiple and intersecting forms of discrimination affecting women with disabilities on account of their disability and other factors, such as sex, gender, ethnicity, migration status, origin, socio-economic status, religious beliefs?................................................................................................................................6</w:t>
      </w:r>
    </w:p>
    <w:p w14:paraId="3B5BE24D" w14:textId="77777777" w:rsidR="006A70C9" w:rsidRDefault="006A70C9" w:rsidP="006A70C9">
      <w:pPr>
        <w:spacing w:after="100"/>
        <w:rPr>
          <w:rFonts w:ascii="Figtree" w:eastAsia="Figtree" w:hAnsi="Figtree" w:cs="Figtree"/>
        </w:rPr>
      </w:pPr>
    </w:p>
    <w:p w14:paraId="4F057EDC" w14:textId="27086817" w:rsidR="006A70C9" w:rsidRDefault="006A70C9" w:rsidP="006A70C9">
      <w:pPr>
        <w:numPr>
          <w:ilvl w:val="0"/>
          <w:numId w:val="28"/>
        </w:numPr>
        <w:spacing w:after="100" w:line="276" w:lineRule="auto"/>
        <w:rPr>
          <w:rFonts w:ascii="Figtree" w:eastAsia="Figtree" w:hAnsi="Figtree" w:cs="Figtree"/>
        </w:rPr>
      </w:pPr>
      <w:r>
        <w:rPr>
          <w:rFonts w:ascii="Figtree" w:eastAsia="Figtree" w:hAnsi="Figtree" w:cs="Figtree"/>
        </w:rPr>
        <w:t>Do authorities in your country collect data reflecting intersectionality between disability and other factors such as sex, gender, ethnicity, migration status, origin, socio-economic status, religious beliefs……………………………………………………………………………………………………………………………7</w:t>
      </w:r>
    </w:p>
    <w:p w14:paraId="20E0A46D" w14:textId="77777777" w:rsidR="006A70C9" w:rsidRDefault="006A70C9" w:rsidP="006A70C9">
      <w:pPr>
        <w:spacing w:after="100"/>
        <w:ind w:left="720"/>
        <w:rPr>
          <w:rFonts w:ascii="Figtree" w:eastAsia="Figtree" w:hAnsi="Figtree" w:cs="Figtree"/>
        </w:rPr>
      </w:pPr>
    </w:p>
    <w:p w14:paraId="6510AFA7" w14:textId="5173DA2E" w:rsidR="006A70C9" w:rsidRDefault="006A70C9" w:rsidP="006A70C9">
      <w:pPr>
        <w:numPr>
          <w:ilvl w:val="0"/>
          <w:numId w:val="28"/>
        </w:numPr>
        <w:spacing w:after="100" w:line="276" w:lineRule="auto"/>
        <w:rPr>
          <w:rFonts w:ascii="Figtree" w:eastAsia="Figtree" w:hAnsi="Figtree" w:cs="Figtree"/>
        </w:rPr>
      </w:pPr>
      <w:r>
        <w:rPr>
          <w:rFonts w:ascii="Figtree" w:eastAsia="Figtree" w:hAnsi="Figtree" w:cs="Figtree"/>
        </w:rPr>
        <w:t>What are the main Intersectional risks and forms of discrimination faced by women and girls with disabilities? Do you consider that the violence and discrimination against women and girls with disabilities is due to two or more of personal characteristics, or that is coloured by these characteristics? For example: being a woman with a disability and indigenous; being a woman with a disability and living with albinism; being a woman with a disability and also an elderly; being a woman with disability and also a child or teenager; being a woman with a disability and a migrant or an asylum seeker, or a person seeking international protection or a refugee; a member of the LGBTIQ+ community; or being someone with diverse sexual orientation or gender identity. Please specify................................................................................................................................8</w:t>
      </w:r>
    </w:p>
    <w:p w14:paraId="4C2F9380" w14:textId="77777777" w:rsidR="006A70C9" w:rsidRDefault="006A70C9" w:rsidP="006A70C9">
      <w:pPr>
        <w:spacing w:after="100"/>
        <w:ind w:left="720"/>
        <w:rPr>
          <w:rFonts w:ascii="Figtree" w:eastAsia="Figtree" w:hAnsi="Figtree" w:cs="Figtree"/>
        </w:rPr>
      </w:pPr>
    </w:p>
    <w:p w14:paraId="583A7CAD" w14:textId="3DC04309" w:rsidR="006A70C9" w:rsidRDefault="006A70C9" w:rsidP="006A70C9">
      <w:pPr>
        <w:numPr>
          <w:ilvl w:val="0"/>
          <w:numId w:val="28"/>
        </w:numPr>
        <w:spacing w:after="100" w:line="276" w:lineRule="auto"/>
        <w:rPr>
          <w:rFonts w:ascii="Figtree" w:eastAsia="Figtree" w:hAnsi="Figtree" w:cs="Figtree"/>
        </w:rPr>
      </w:pPr>
      <w:r>
        <w:rPr>
          <w:rFonts w:ascii="Figtree" w:eastAsia="Figtree" w:hAnsi="Figtree" w:cs="Figtree"/>
        </w:rPr>
        <w:t>Describe the areas of life in which women and girls with disabilities exposed to multiple and intersecting forms of discrimination are more excluded from the access and enjoyment of their rights. (</w:t>
      </w:r>
      <w:proofErr w:type="gramStart"/>
      <w:r>
        <w:rPr>
          <w:rFonts w:ascii="Figtree" w:eastAsia="Figtree" w:hAnsi="Figtree" w:cs="Figtree"/>
        </w:rPr>
        <w:t>examples</w:t>
      </w:r>
      <w:proofErr w:type="gramEnd"/>
      <w:r>
        <w:rPr>
          <w:rFonts w:ascii="Figtree" w:eastAsia="Figtree" w:hAnsi="Figtree" w:cs="Figtree"/>
        </w:rPr>
        <w:t xml:space="preserve">: in housing, access to justice, </w:t>
      </w:r>
      <w:r>
        <w:rPr>
          <w:rFonts w:ascii="Figtree" w:eastAsia="Figtree" w:hAnsi="Figtree" w:cs="Figtree"/>
        </w:rPr>
        <w:lastRenderedPageBreak/>
        <w:t xml:space="preserve">employment, political participation………………………………………………………………………………...................................10 </w:t>
      </w:r>
    </w:p>
    <w:p w14:paraId="56CDD742" w14:textId="77777777" w:rsidR="006A70C9" w:rsidRDefault="006A70C9" w:rsidP="006A70C9">
      <w:pPr>
        <w:spacing w:after="100"/>
        <w:ind w:left="720"/>
        <w:rPr>
          <w:rFonts w:ascii="Figtree" w:eastAsia="Figtree" w:hAnsi="Figtree" w:cs="Figtree"/>
        </w:rPr>
      </w:pPr>
    </w:p>
    <w:p w14:paraId="31C7D3B9" w14:textId="731B4EDB" w:rsidR="006A70C9" w:rsidRDefault="006A70C9" w:rsidP="006A70C9">
      <w:pPr>
        <w:numPr>
          <w:ilvl w:val="0"/>
          <w:numId w:val="28"/>
        </w:numPr>
        <w:spacing w:after="100" w:line="276" w:lineRule="auto"/>
        <w:rPr>
          <w:rFonts w:ascii="Figtree" w:eastAsia="Figtree" w:hAnsi="Figtree" w:cs="Figtree"/>
        </w:rPr>
      </w:pPr>
      <w:r>
        <w:rPr>
          <w:rFonts w:ascii="Figtree" w:eastAsia="Figtree" w:hAnsi="Figtree" w:cs="Figtree"/>
        </w:rPr>
        <w:t>Indicate which remedies are available to women and girls with disabilities facing multiple and intersecting forms of discrimination. Are these remedies accessible, available, and effective?..........................................................................................................................13</w:t>
      </w:r>
    </w:p>
    <w:p w14:paraId="5A122464" w14:textId="77777777" w:rsidR="006A70C9" w:rsidRDefault="006A70C9" w:rsidP="006A70C9">
      <w:pPr>
        <w:spacing w:after="100"/>
        <w:ind w:left="720"/>
        <w:rPr>
          <w:rFonts w:ascii="Figtree" w:eastAsia="Figtree" w:hAnsi="Figtree" w:cs="Figtree"/>
        </w:rPr>
      </w:pPr>
    </w:p>
    <w:p w14:paraId="050AF569" w14:textId="7EA825F3" w:rsidR="006A70C9" w:rsidRDefault="006A70C9" w:rsidP="006A70C9">
      <w:pPr>
        <w:numPr>
          <w:ilvl w:val="0"/>
          <w:numId w:val="28"/>
        </w:numPr>
        <w:spacing w:after="100" w:line="276" w:lineRule="auto"/>
        <w:rPr>
          <w:rFonts w:ascii="Figtree" w:eastAsia="Figtree" w:hAnsi="Figtree" w:cs="Figtree"/>
        </w:rPr>
      </w:pPr>
      <w:r>
        <w:rPr>
          <w:rFonts w:ascii="Figtree" w:eastAsia="Figtree" w:hAnsi="Figtree" w:cs="Figtree"/>
        </w:rPr>
        <w:t>Describe any example of positive initiative, plan, programme, strategy or piece of legislation addressing multiple and intersecting forms of discrimination against women and girls with disabilities.........................................................................................................................15</w:t>
      </w:r>
    </w:p>
    <w:p w14:paraId="107571E6" w14:textId="0424786A" w:rsidR="006A70C9" w:rsidRDefault="006A70C9" w:rsidP="006A70C9">
      <w:pPr>
        <w:spacing w:after="100"/>
        <w:rPr>
          <w:rFonts w:ascii="Figtree" w:eastAsia="Figtree" w:hAnsi="Figtree" w:cs="Figtree"/>
        </w:rPr>
      </w:pPr>
      <w:r>
        <w:rPr>
          <w:rFonts w:ascii="Figtree" w:eastAsia="Figtree" w:hAnsi="Figtree" w:cs="Figtree"/>
        </w:rPr>
        <w:t>Conclusion....................................................................................................................................16</w:t>
      </w:r>
    </w:p>
    <w:p w14:paraId="049F333D" w14:textId="234331B7" w:rsidR="006A70C9" w:rsidRDefault="006A70C9" w:rsidP="006A70C9">
      <w:pPr>
        <w:spacing w:after="120"/>
        <w:rPr>
          <w:rFonts w:ascii="Figtree" w:eastAsia="Figtree" w:hAnsi="Figtree" w:cs="Figtree"/>
        </w:rPr>
      </w:pPr>
      <w:r>
        <w:rPr>
          <w:rFonts w:ascii="Figtree" w:eastAsia="Figtree" w:hAnsi="Figtree" w:cs="Figtree"/>
        </w:rPr>
        <w:t xml:space="preserve">    Endnotes………………………………………………………………………………………………………………………………….17</w:t>
      </w:r>
    </w:p>
    <w:p w14:paraId="269714EC" w14:textId="6A06EB6D" w:rsidR="003E70B0" w:rsidRPr="00B4409D" w:rsidRDefault="003E70B0" w:rsidP="006A70C9">
      <w:pPr>
        <w:pStyle w:val="TOC2"/>
        <w:tabs>
          <w:tab w:val="right" w:leader="dot" w:pos="9345"/>
        </w:tabs>
        <w:ind w:left="0"/>
        <w:rPr>
          <w:rStyle w:val="Hyperlink"/>
          <w:rFonts w:ascii="Figtree" w:eastAsia="Helvetica" w:hAnsi="Figtree" w:cs="Helvetica"/>
          <w:sz w:val="22"/>
          <w:szCs w:val="22"/>
        </w:rPr>
      </w:pPr>
    </w:p>
    <w:p w14:paraId="665938A8" w14:textId="77777777" w:rsidR="000B2F0D" w:rsidRDefault="000B2F0D" w:rsidP="000B2F0D">
      <w:pPr>
        <w:pStyle w:val="Heading1"/>
        <w:keepNext w:val="0"/>
        <w:keepLines w:val="0"/>
        <w:spacing w:before="480" w:line="191" w:lineRule="auto"/>
        <w:rPr>
          <w:rFonts w:ascii="Figtree" w:eastAsia="Figtree" w:hAnsi="Figtree" w:cs="Figtree"/>
          <w:b/>
          <w:color w:val="77347C"/>
          <w:sz w:val="32"/>
          <w:szCs w:val="32"/>
        </w:rPr>
      </w:pPr>
    </w:p>
    <w:p w14:paraId="21A5E766" w14:textId="77777777" w:rsidR="000B2F0D" w:rsidRDefault="000B2F0D" w:rsidP="000B2F0D">
      <w:pPr>
        <w:pStyle w:val="Heading1"/>
        <w:keepNext w:val="0"/>
        <w:keepLines w:val="0"/>
        <w:spacing w:before="480" w:line="191" w:lineRule="auto"/>
        <w:rPr>
          <w:rFonts w:ascii="Figtree" w:eastAsia="Figtree" w:hAnsi="Figtree" w:cs="Figtree"/>
          <w:b/>
          <w:color w:val="77347C"/>
          <w:sz w:val="32"/>
          <w:szCs w:val="32"/>
        </w:rPr>
      </w:pPr>
    </w:p>
    <w:p w14:paraId="5D5B68BD" w14:textId="77777777" w:rsidR="000B2F0D" w:rsidRDefault="000B2F0D" w:rsidP="000B2F0D">
      <w:pPr>
        <w:pStyle w:val="Heading1"/>
        <w:keepNext w:val="0"/>
        <w:keepLines w:val="0"/>
        <w:spacing w:before="480" w:line="191" w:lineRule="auto"/>
        <w:rPr>
          <w:rFonts w:ascii="Figtree" w:eastAsia="Figtree" w:hAnsi="Figtree" w:cs="Figtree"/>
          <w:b/>
          <w:color w:val="77347C"/>
          <w:sz w:val="32"/>
          <w:szCs w:val="32"/>
        </w:rPr>
      </w:pPr>
    </w:p>
    <w:p w14:paraId="1F664FD6" w14:textId="77777777" w:rsidR="006A70C9" w:rsidRDefault="006A70C9" w:rsidP="000B2F0D">
      <w:pPr>
        <w:pStyle w:val="Heading1"/>
        <w:keepNext w:val="0"/>
        <w:keepLines w:val="0"/>
        <w:spacing w:before="480" w:line="191" w:lineRule="auto"/>
        <w:rPr>
          <w:rFonts w:ascii="Figtree" w:eastAsia="Figtree" w:hAnsi="Figtree" w:cs="Figtree"/>
          <w:b/>
          <w:color w:val="77347C"/>
          <w:sz w:val="32"/>
          <w:szCs w:val="32"/>
        </w:rPr>
      </w:pPr>
    </w:p>
    <w:p w14:paraId="3FC51373" w14:textId="77777777" w:rsidR="006A70C9" w:rsidRDefault="006A70C9" w:rsidP="000B2F0D">
      <w:pPr>
        <w:pStyle w:val="Heading1"/>
        <w:keepNext w:val="0"/>
        <w:keepLines w:val="0"/>
        <w:spacing w:before="480" w:line="191" w:lineRule="auto"/>
        <w:rPr>
          <w:rFonts w:ascii="Figtree" w:eastAsia="Figtree" w:hAnsi="Figtree" w:cs="Figtree"/>
          <w:b/>
          <w:color w:val="77347C"/>
          <w:sz w:val="32"/>
          <w:szCs w:val="32"/>
        </w:rPr>
      </w:pPr>
    </w:p>
    <w:p w14:paraId="27132C2E" w14:textId="77777777" w:rsidR="006A70C9" w:rsidRDefault="006A70C9" w:rsidP="000B2F0D">
      <w:pPr>
        <w:pStyle w:val="Heading1"/>
        <w:keepNext w:val="0"/>
        <w:keepLines w:val="0"/>
        <w:spacing w:before="480" w:line="191" w:lineRule="auto"/>
        <w:rPr>
          <w:rFonts w:ascii="Figtree" w:eastAsia="Figtree" w:hAnsi="Figtree" w:cs="Figtree"/>
          <w:b/>
          <w:color w:val="77347C"/>
          <w:sz w:val="32"/>
          <w:szCs w:val="32"/>
        </w:rPr>
      </w:pPr>
    </w:p>
    <w:p w14:paraId="061A66C8" w14:textId="77777777" w:rsidR="006A70C9" w:rsidRDefault="006A70C9" w:rsidP="000B2F0D">
      <w:pPr>
        <w:pStyle w:val="Heading1"/>
        <w:keepNext w:val="0"/>
        <w:keepLines w:val="0"/>
        <w:spacing w:before="480" w:line="191" w:lineRule="auto"/>
        <w:rPr>
          <w:rFonts w:ascii="Figtree" w:eastAsia="Figtree" w:hAnsi="Figtree" w:cs="Figtree"/>
          <w:b/>
          <w:color w:val="77347C"/>
          <w:sz w:val="32"/>
          <w:szCs w:val="32"/>
        </w:rPr>
      </w:pPr>
    </w:p>
    <w:p w14:paraId="31E5F33B" w14:textId="77777777" w:rsidR="006A70C9" w:rsidRDefault="006A70C9" w:rsidP="000B2F0D">
      <w:pPr>
        <w:pStyle w:val="Heading1"/>
        <w:keepNext w:val="0"/>
        <w:keepLines w:val="0"/>
        <w:spacing w:before="480" w:line="191" w:lineRule="auto"/>
        <w:rPr>
          <w:rFonts w:ascii="Figtree" w:eastAsia="Figtree" w:hAnsi="Figtree" w:cs="Figtree"/>
          <w:b/>
          <w:color w:val="77347C"/>
          <w:sz w:val="32"/>
          <w:szCs w:val="32"/>
        </w:rPr>
      </w:pPr>
    </w:p>
    <w:p w14:paraId="675FBC0D" w14:textId="77777777" w:rsidR="006A70C9" w:rsidRDefault="006A70C9" w:rsidP="000B2F0D">
      <w:pPr>
        <w:pStyle w:val="Heading1"/>
        <w:keepNext w:val="0"/>
        <w:keepLines w:val="0"/>
        <w:spacing w:before="480" w:line="191" w:lineRule="auto"/>
        <w:rPr>
          <w:rFonts w:ascii="Figtree" w:eastAsia="Figtree" w:hAnsi="Figtree" w:cs="Figtree"/>
          <w:b/>
          <w:color w:val="77347C"/>
          <w:sz w:val="32"/>
          <w:szCs w:val="32"/>
        </w:rPr>
      </w:pPr>
    </w:p>
    <w:p w14:paraId="4000041F" w14:textId="77777777" w:rsidR="006A70C9" w:rsidRDefault="006A70C9" w:rsidP="000B2F0D">
      <w:pPr>
        <w:pStyle w:val="Heading1"/>
        <w:keepNext w:val="0"/>
        <w:keepLines w:val="0"/>
        <w:spacing w:before="480" w:line="191" w:lineRule="auto"/>
        <w:rPr>
          <w:rFonts w:ascii="Figtree" w:eastAsia="Figtree" w:hAnsi="Figtree" w:cs="Figtree"/>
          <w:b/>
          <w:color w:val="77347C"/>
          <w:sz w:val="32"/>
          <w:szCs w:val="32"/>
        </w:rPr>
      </w:pPr>
    </w:p>
    <w:p w14:paraId="00978478" w14:textId="5EBE278C" w:rsidR="000B2F0D" w:rsidRDefault="000B2F0D" w:rsidP="000B2F0D">
      <w:pPr>
        <w:pStyle w:val="Heading1"/>
        <w:keepNext w:val="0"/>
        <w:keepLines w:val="0"/>
        <w:spacing w:before="480" w:line="191" w:lineRule="auto"/>
        <w:rPr>
          <w:rFonts w:ascii="Figtree" w:eastAsia="Figtree" w:hAnsi="Figtree" w:cs="Figtree"/>
          <w:b/>
          <w:color w:val="77347C"/>
          <w:sz w:val="32"/>
          <w:szCs w:val="32"/>
        </w:rPr>
      </w:pPr>
      <w:r>
        <w:rPr>
          <w:rFonts w:ascii="Figtree" w:eastAsia="Figtree" w:hAnsi="Figtree" w:cs="Figtree"/>
          <w:b/>
          <w:color w:val="77347C"/>
          <w:sz w:val="32"/>
          <w:szCs w:val="32"/>
        </w:rPr>
        <w:t>Introduction</w:t>
      </w:r>
    </w:p>
    <w:p w14:paraId="07F31BA5" w14:textId="0F7CAC33" w:rsidR="228E0351" w:rsidRPr="00B4409D" w:rsidRDefault="481AF7C6" w:rsidP="4058822F">
      <w:p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Women With Disabilities Australia (WWDA)</w:t>
      </w:r>
      <w:r w:rsidR="00916CE6" w:rsidRPr="00B4409D">
        <w:rPr>
          <w:rStyle w:val="EndnoteReference"/>
          <w:rFonts w:ascii="Figtree" w:eastAsia="Helvetica" w:hAnsi="Figtree" w:cs="Helvetica"/>
          <w:color w:val="000000" w:themeColor="text1"/>
          <w:sz w:val="22"/>
          <w:szCs w:val="22"/>
        </w:rPr>
        <w:endnoteReference w:id="1"/>
      </w:r>
      <w:r w:rsidR="00916CE6" w:rsidRPr="00B4409D">
        <w:rPr>
          <w:rFonts w:ascii="Figtree" w:eastAsia="Helvetica" w:hAnsi="Figtree" w:cs="Helvetica"/>
          <w:color w:val="000000" w:themeColor="text1"/>
          <w:sz w:val="22"/>
          <w:szCs w:val="22"/>
        </w:rPr>
        <w:t xml:space="preserve"> </w:t>
      </w:r>
      <w:r w:rsidRPr="00B4409D">
        <w:rPr>
          <w:rFonts w:ascii="Figtree" w:eastAsia="Helvetica" w:hAnsi="Figtree" w:cs="Helvetica"/>
          <w:color w:val="000000" w:themeColor="text1"/>
          <w:sz w:val="22"/>
          <w:szCs w:val="22"/>
        </w:rPr>
        <w:t xml:space="preserve">and People </w:t>
      </w:r>
      <w:proofErr w:type="gramStart"/>
      <w:r w:rsidRPr="00B4409D">
        <w:rPr>
          <w:rFonts w:ascii="Figtree" w:eastAsia="Helvetica" w:hAnsi="Figtree" w:cs="Helvetica"/>
          <w:color w:val="000000" w:themeColor="text1"/>
          <w:sz w:val="22"/>
          <w:szCs w:val="22"/>
        </w:rPr>
        <w:t>With</w:t>
      </w:r>
      <w:proofErr w:type="gramEnd"/>
      <w:r w:rsidRPr="00B4409D">
        <w:rPr>
          <w:rFonts w:ascii="Figtree" w:eastAsia="Helvetica" w:hAnsi="Figtree" w:cs="Helvetica"/>
          <w:color w:val="000000" w:themeColor="text1"/>
          <w:sz w:val="22"/>
          <w:szCs w:val="22"/>
        </w:rPr>
        <w:t xml:space="preserve"> Disability Australia (PWDA)</w:t>
      </w:r>
      <w:r w:rsidR="00916CE6" w:rsidRPr="00B4409D">
        <w:rPr>
          <w:rStyle w:val="EndnoteReference"/>
          <w:rFonts w:ascii="Figtree" w:eastAsia="Helvetica" w:hAnsi="Figtree" w:cs="Helvetica"/>
          <w:color w:val="000000" w:themeColor="text1"/>
          <w:sz w:val="22"/>
          <w:szCs w:val="22"/>
        </w:rPr>
        <w:endnoteReference w:id="2"/>
      </w:r>
      <w:r w:rsidR="00916CE6" w:rsidRPr="00B4409D">
        <w:rPr>
          <w:rFonts w:ascii="Figtree" w:eastAsia="Helvetica" w:hAnsi="Figtree" w:cs="Helvetica"/>
          <w:color w:val="000000" w:themeColor="text1"/>
          <w:sz w:val="22"/>
          <w:szCs w:val="22"/>
        </w:rPr>
        <w:t xml:space="preserve"> </w:t>
      </w:r>
      <w:r w:rsidRPr="00B4409D">
        <w:rPr>
          <w:rFonts w:ascii="Figtree" w:eastAsia="Helvetica" w:hAnsi="Figtree" w:cs="Helvetica"/>
          <w:color w:val="000000" w:themeColor="text1"/>
          <w:sz w:val="22"/>
          <w:szCs w:val="22"/>
        </w:rPr>
        <w:t>welcome the opportunity to contribute to the development of guidelines addressing multiple and intersectional forms of discrimination against women and girls with disabilities. This submission is grounded in a trans-inclusive, intersectional feminist framework that centres the lived experiences, rights, and leadership of women, girls, and gender-diverse people with disabilities.</w:t>
      </w:r>
    </w:p>
    <w:p w14:paraId="66DB105D" w14:textId="399D0E4A" w:rsidR="228E0351" w:rsidRDefault="293559CA" w:rsidP="1FF1FC75">
      <w:p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 xml:space="preserve">This submission affirms the importance of recognising compounded discrimination, as articulated in CRPD General Comment No. 6 (para 20), which obliges States Parties to address discrimination arising from the intersection of disability with other identity characteristics such as gender, race, sexual orientation, and gender identity. While the CRPD refers to “women and girls with disabilities,” our analysis explicitly includes trans women, non-binary, and gender-diverse people with disabilities, whose experiences of discrimination are distinct and must be named to ensure no one is left behind. Therefore, </w:t>
      </w:r>
      <w:r w:rsidRPr="00B4409D">
        <w:rPr>
          <w:rFonts w:ascii="Figtree" w:eastAsia="Helvetica" w:hAnsi="Figtree" w:cs="Helvetica"/>
          <w:b/>
          <w:bCs/>
          <w:color w:val="000000" w:themeColor="text1"/>
          <w:sz w:val="22"/>
          <w:szCs w:val="22"/>
        </w:rPr>
        <w:t xml:space="preserve">where the term ‘women and girls’ </w:t>
      </w:r>
      <w:proofErr w:type="gramStart"/>
      <w:r w:rsidRPr="00B4409D">
        <w:rPr>
          <w:rFonts w:ascii="Figtree" w:eastAsia="Helvetica" w:hAnsi="Figtree" w:cs="Helvetica"/>
          <w:b/>
          <w:bCs/>
          <w:color w:val="000000" w:themeColor="text1"/>
          <w:sz w:val="22"/>
          <w:szCs w:val="22"/>
        </w:rPr>
        <w:t>is</w:t>
      </w:r>
      <w:proofErr w:type="gramEnd"/>
      <w:r w:rsidRPr="00B4409D">
        <w:rPr>
          <w:rFonts w:ascii="Figtree" w:eastAsia="Helvetica" w:hAnsi="Figtree" w:cs="Helvetica"/>
          <w:b/>
          <w:bCs/>
          <w:color w:val="000000" w:themeColor="text1"/>
          <w:sz w:val="22"/>
          <w:szCs w:val="22"/>
        </w:rPr>
        <w:t xml:space="preserve"> used in this submission, this includes trans women, non-binary, and gender diverse people</w:t>
      </w:r>
      <w:r w:rsidRPr="00B4409D">
        <w:rPr>
          <w:rFonts w:ascii="Figtree" w:eastAsia="Helvetica" w:hAnsi="Figtree" w:cs="Helvetica"/>
          <w:color w:val="000000" w:themeColor="text1"/>
          <w:sz w:val="22"/>
          <w:szCs w:val="22"/>
        </w:rPr>
        <w:t>. WWDA and PWDA call for a dedicated focus on intersectionality across all disability policy and programming. Only by centring the voices and leadership of women, girls, and gender-diverse people with disabilities—and recognising the full spectrum of their identities—can we advance genuine equality, empowerment, and justice.</w:t>
      </w:r>
    </w:p>
    <w:p w14:paraId="27474139" w14:textId="77777777" w:rsidR="000B2F0D" w:rsidRPr="00B4409D" w:rsidRDefault="000B2F0D" w:rsidP="1FF1FC75">
      <w:pPr>
        <w:spacing w:before="100" w:beforeAutospacing="1" w:after="100" w:afterAutospacing="1" w:line="300" w:lineRule="atLeast"/>
        <w:rPr>
          <w:rFonts w:ascii="Figtree" w:eastAsia="Helvetica" w:hAnsi="Figtree" w:cs="Helvetica"/>
          <w:color w:val="000000" w:themeColor="text1"/>
          <w:sz w:val="22"/>
          <w:szCs w:val="22"/>
        </w:rPr>
      </w:pPr>
    </w:p>
    <w:p w14:paraId="7B711275" w14:textId="2012AEEC" w:rsidR="00A21FD2" w:rsidRPr="00B4409D" w:rsidRDefault="293559CA" w:rsidP="228E0351">
      <w:pPr>
        <w:pStyle w:val="Heading2"/>
        <w:numPr>
          <w:ilvl w:val="0"/>
          <w:numId w:val="3"/>
        </w:numPr>
        <w:rPr>
          <w:rFonts w:ascii="Figtree" w:eastAsia="Helvetica" w:hAnsi="Figtree" w:cs="Helvetica"/>
        </w:rPr>
      </w:pPr>
      <w:bookmarkStart w:id="0" w:name="_Toc980104213"/>
      <w:r w:rsidRPr="00B4409D">
        <w:rPr>
          <w:rFonts w:ascii="Figtree" w:eastAsia="Helvetica" w:hAnsi="Figtree" w:cs="Helvetica"/>
        </w:rPr>
        <w:t>Do the anti-discrimination legislation and/or policy frameworks in force in your country recogni</w:t>
      </w:r>
      <w:r w:rsidR="572AB385" w:rsidRPr="00B4409D">
        <w:rPr>
          <w:rFonts w:ascii="Figtree" w:eastAsia="Helvetica" w:hAnsi="Figtree" w:cs="Helvetica"/>
        </w:rPr>
        <w:t>s</w:t>
      </w:r>
      <w:r w:rsidRPr="00B4409D">
        <w:rPr>
          <w:rFonts w:ascii="Figtree" w:eastAsia="Helvetica" w:hAnsi="Figtree" w:cs="Helvetica"/>
        </w:rPr>
        <w:t>e disability and the denial of reasonable accommodation as prohibited forms of discrimination against persons with disabilities?</w:t>
      </w:r>
      <w:bookmarkEnd w:id="0"/>
      <w:r w:rsidRPr="00B4409D">
        <w:rPr>
          <w:rFonts w:ascii="Figtree" w:eastAsia="Helvetica" w:hAnsi="Figtree" w:cs="Helvetica"/>
        </w:rPr>
        <w:t>  </w:t>
      </w:r>
    </w:p>
    <w:p w14:paraId="4B2642FF" w14:textId="786589B9" w:rsidR="00A21FD2" w:rsidRPr="00B4409D" w:rsidRDefault="00A21FD2" w:rsidP="228E0351">
      <w:pPr>
        <w:rPr>
          <w:rFonts w:ascii="Figtree" w:eastAsia="Helvetica" w:hAnsi="Figtree" w:cs="Helvetica"/>
        </w:rPr>
      </w:pPr>
    </w:p>
    <w:p w14:paraId="7BDD4A66" w14:textId="05022D1F" w:rsidR="00A21FD2" w:rsidRDefault="49AE17B1" w:rsidP="000B2F0D">
      <w:pPr>
        <w:pStyle w:val="Heading1"/>
        <w:keepNext w:val="0"/>
        <w:keepLines w:val="0"/>
        <w:spacing w:before="480" w:line="191" w:lineRule="auto"/>
        <w:rPr>
          <w:rFonts w:ascii="Figtree" w:eastAsia="Helvetica" w:hAnsi="Figtree" w:cs="Helvetica"/>
          <w:b/>
          <w:bCs/>
          <w:color w:val="77206D" w:themeColor="accent5" w:themeShade="BF"/>
          <w:sz w:val="32"/>
          <w:szCs w:val="32"/>
        </w:rPr>
      </w:pPr>
      <w:bookmarkStart w:id="1" w:name="_Toc1677072992"/>
      <w:r w:rsidRPr="000B2F0D">
        <w:rPr>
          <w:rFonts w:ascii="Figtree" w:eastAsia="Helvetica" w:hAnsi="Figtree" w:cs="Helvetica"/>
          <w:b/>
          <w:bCs/>
          <w:color w:val="77206D" w:themeColor="accent5" w:themeShade="BF"/>
          <w:sz w:val="32"/>
          <w:szCs w:val="32"/>
        </w:rPr>
        <w:t>Anti-discrimination laws in Australia</w:t>
      </w:r>
      <w:bookmarkEnd w:id="1"/>
      <w:r w:rsidR="000B2F0D" w:rsidRPr="000B2F0D">
        <w:rPr>
          <w:rFonts w:ascii="Figtree" w:eastAsia="Helvetica" w:hAnsi="Figtree" w:cs="Helvetica"/>
          <w:b/>
          <w:bCs/>
          <w:color w:val="77206D" w:themeColor="accent5" w:themeShade="BF"/>
          <w:sz w:val="32"/>
          <w:szCs w:val="32"/>
        </w:rPr>
        <w:t xml:space="preserve"> </w:t>
      </w:r>
    </w:p>
    <w:p w14:paraId="739E8AED" w14:textId="77777777" w:rsidR="006A70C9" w:rsidRPr="006A70C9" w:rsidRDefault="006A70C9" w:rsidP="006A70C9">
      <w:pPr>
        <w:rPr>
          <w:rFonts w:eastAsia="Helvetica"/>
        </w:rPr>
      </w:pPr>
    </w:p>
    <w:p w14:paraId="63E50FD6" w14:textId="0A25D258" w:rsidR="318643F8" w:rsidRPr="00B4409D" w:rsidRDefault="481AF7C6" w:rsidP="228E0351">
      <w:pPr>
        <w:spacing w:before="75" w:after="75" w:line="300" w:lineRule="auto"/>
        <w:ind w:right="75"/>
        <w:rPr>
          <w:rFonts w:ascii="Figtree" w:eastAsia="Helvetica" w:hAnsi="Figtree" w:cs="Helvetica"/>
          <w:color w:val="000000" w:themeColor="text1"/>
          <w:sz w:val="22"/>
          <w:szCs w:val="22"/>
        </w:rPr>
      </w:pPr>
      <w:r w:rsidRPr="00B4409D">
        <w:rPr>
          <w:rFonts w:ascii="Figtree" w:eastAsia="Helvetica" w:hAnsi="Figtree" w:cs="Helvetica"/>
          <w:sz w:val="22"/>
          <w:szCs w:val="22"/>
        </w:rPr>
        <w:t xml:space="preserve">Australia has a comprehensive framework of anti-discrimination laws that operate at both the national and state/territory levels. </w:t>
      </w:r>
      <w:r w:rsidR="4058822F" w:rsidRPr="00B4409D">
        <w:rPr>
          <w:rFonts w:ascii="Figtree" w:eastAsia="Helvetica" w:hAnsi="Figtree" w:cs="Helvetica"/>
          <w:sz w:val="22"/>
          <w:szCs w:val="22"/>
        </w:rPr>
        <w:t>This</w:t>
      </w:r>
      <w:r w:rsidRPr="00B4409D">
        <w:rPr>
          <w:rFonts w:ascii="Figtree" w:eastAsia="Helvetica" w:hAnsi="Figtree" w:cs="Helvetica"/>
          <w:sz w:val="22"/>
          <w:szCs w:val="22"/>
        </w:rPr>
        <w:t xml:space="preserve"> system creates confusion, inconsistency and fragmentation. Nationally, the key pieces of legislation include the Racial Discrimination Act 1975, the Sex Discrimination Act 1984</w:t>
      </w:r>
      <w:r w:rsidR="7D7E40C5" w:rsidRPr="00B4409D">
        <w:rPr>
          <w:rFonts w:ascii="Figtree" w:eastAsia="Helvetica" w:hAnsi="Figtree" w:cs="Helvetica"/>
          <w:sz w:val="22"/>
          <w:szCs w:val="22"/>
        </w:rPr>
        <w:t xml:space="preserve"> (SDA)</w:t>
      </w:r>
      <w:r w:rsidRPr="00B4409D">
        <w:rPr>
          <w:rFonts w:ascii="Figtree" w:eastAsia="Helvetica" w:hAnsi="Figtree" w:cs="Helvetica"/>
          <w:sz w:val="22"/>
          <w:szCs w:val="22"/>
        </w:rPr>
        <w:t xml:space="preserve">, the Disability Discrimination Act 1992, and the Age Discrimination Act 2004. These laws are designed to protect individuals from discrimination based on race, sex, disability, and age, respectively. </w:t>
      </w:r>
      <w:r w:rsidR="4058822F" w:rsidRPr="00B4409D">
        <w:rPr>
          <w:rFonts w:ascii="Figtree" w:eastAsia="Helvetica" w:hAnsi="Figtree" w:cs="Helvetica"/>
          <w:sz w:val="22"/>
          <w:szCs w:val="22"/>
        </w:rPr>
        <w:t>In addition</w:t>
      </w:r>
      <w:r w:rsidRPr="00B4409D">
        <w:rPr>
          <w:rFonts w:ascii="Figtree" w:eastAsia="Helvetica" w:hAnsi="Figtree" w:cs="Helvetica"/>
          <w:sz w:val="22"/>
          <w:szCs w:val="22"/>
        </w:rPr>
        <w:t xml:space="preserve">, each state and </w:t>
      </w:r>
      <w:r w:rsidRPr="00B4409D">
        <w:rPr>
          <w:rFonts w:ascii="Figtree" w:eastAsia="Helvetica" w:hAnsi="Figtree" w:cs="Helvetica"/>
          <w:sz w:val="22"/>
          <w:szCs w:val="22"/>
        </w:rPr>
        <w:lastRenderedPageBreak/>
        <w:t xml:space="preserve">territory has its own anti-discrimination legislation that addresses similar issues within their jurisdictions, setting </w:t>
      </w:r>
      <w:r w:rsidR="4058822F" w:rsidRPr="00B4409D">
        <w:rPr>
          <w:rFonts w:ascii="Figtree" w:eastAsia="Helvetica" w:hAnsi="Figtree" w:cs="Helvetica"/>
          <w:sz w:val="22"/>
          <w:szCs w:val="22"/>
        </w:rPr>
        <w:t>out</w:t>
      </w:r>
      <w:r w:rsidR="2DD7E794" w:rsidRPr="00B4409D">
        <w:rPr>
          <w:rFonts w:ascii="Figtree" w:eastAsia="Helvetica" w:hAnsi="Figtree" w:cs="Helvetica"/>
          <w:sz w:val="22"/>
          <w:szCs w:val="22"/>
        </w:rPr>
        <w:t xml:space="preserve"> </w:t>
      </w:r>
      <w:r w:rsidR="7ADE07F5" w:rsidRPr="00B4409D">
        <w:rPr>
          <w:rFonts w:ascii="Figtree" w:eastAsia="Helvetica" w:hAnsi="Figtree" w:cs="Helvetica"/>
          <w:sz w:val="22"/>
          <w:szCs w:val="22"/>
        </w:rPr>
        <w:t>additional avenues</w:t>
      </w:r>
      <w:r w:rsidRPr="00B4409D">
        <w:rPr>
          <w:rFonts w:ascii="Figtree" w:eastAsia="Helvetica" w:hAnsi="Figtree" w:cs="Helvetica"/>
          <w:sz w:val="22"/>
          <w:szCs w:val="22"/>
        </w:rPr>
        <w:t xml:space="preserve"> for individuals to seek redress against discriminatory practices. </w:t>
      </w:r>
    </w:p>
    <w:p w14:paraId="03AB2EEF" w14:textId="654237CB" w:rsidR="22D7D858" w:rsidRPr="000B2F0D" w:rsidRDefault="235DF431" w:rsidP="228E0351">
      <w:pPr>
        <w:pStyle w:val="Heading3"/>
        <w:rPr>
          <w:rFonts w:ascii="Figtree" w:eastAsia="Helvetica" w:hAnsi="Figtree" w:cs="Helvetica"/>
          <w:b/>
          <w:bCs/>
          <w:color w:val="77206D" w:themeColor="accent5" w:themeShade="BF"/>
          <w:sz w:val="32"/>
          <w:szCs w:val="32"/>
        </w:rPr>
      </w:pPr>
      <w:bookmarkStart w:id="2" w:name="_Toc1787419359"/>
      <w:r w:rsidRPr="000B2F0D">
        <w:rPr>
          <w:rFonts w:ascii="Figtree" w:eastAsia="Helvetica" w:hAnsi="Figtree" w:cs="Helvetica"/>
          <w:b/>
          <w:bCs/>
          <w:color w:val="77206D" w:themeColor="accent5" w:themeShade="BF"/>
          <w:sz w:val="32"/>
          <w:szCs w:val="32"/>
        </w:rPr>
        <w:t>The Disability Discrimination Act 1992</w:t>
      </w:r>
      <w:r w:rsidR="1B273B41" w:rsidRPr="000B2F0D">
        <w:rPr>
          <w:rFonts w:ascii="Figtree" w:eastAsia="Helvetica" w:hAnsi="Figtree" w:cs="Helvetica"/>
          <w:b/>
          <w:bCs/>
          <w:color w:val="77206D" w:themeColor="accent5" w:themeShade="BF"/>
          <w:sz w:val="32"/>
          <w:szCs w:val="32"/>
        </w:rPr>
        <w:t xml:space="preserve"> (DDA)</w:t>
      </w:r>
      <w:bookmarkEnd w:id="2"/>
    </w:p>
    <w:p w14:paraId="3AD75DDF" w14:textId="691E3577" w:rsidR="66008622" w:rsidRPr="00B4409D" w:rsidRDefault="66008622" w:rsidP="1FF1FC75">
      <w:pPr>
        <w:spacing w:beforeAutospacing="1" w:afterAutospacing="1" w:line="276" w:lineRule="auto"/>
        <w:rPr>
          <w:rFonts w:ascii="Figtree" w:eastAsia="Helvetica" w:hAnsi="Figtree" w:cs="Helvetica"/>
          <w:sz w:val="22"/>
          <w:szCs w:val="22"/>
        </w:rPr>
      </w:pPr>
      <w:r w:rsidRPr="00B4409D">
        <w:rPr>
          <w:rFonts w:ascii="Figtree" w:eastAsia="Helvetica" w:hAnsi="Figtree" w:cs="Helvetica"/>
          <w:sz w:val="22"/>
          <w:szCs w:val="22"/>
        </w:rPr>
        <w:t xml:space="preserve">The </w:t>
      </w:r>
      <w:r w:rsidR="6D24CFBE" w:rsidRPr="00B4409D">
        <w:rPr>
          <w:rFonts w:ascii="Figtree" w:eastAsia="Helvetica" w:hAnsi="Figtree" w:cs="Helvetica"/>
          <w:sz w:val="22"/>
          <w:szCs w:val="22"/>
        </w:rPr>
        <w:t>DDA</w:t>
      </w:r>
      <w:r w:rsidRPr="00B4409D">
        <w:rPr>
          <w:rFonts w:ascii="Figtree" w:eastAsia="Helvetica" w:hAnsi="Figtree" w:cs="Helvetica"/>
          <w:sz w:val="22"/>
          <w:szCs w:val="22"/>
        </w:rPr>
        <w:t xml:space="preserve"> is Australia’s key federal law prohibiting discrimination based on disability. It addresses both direct discrimination (section 5) —where a person with disability is treated less favourably—and indirect discrimination (section 6), which arises when seemingly neutral practices disproportionately disadvantage people with disabilities. Section 24 specifically mandates reasonable adjustments in the provision of goods, services, and facilities to ensure equal access.</w:t>
      </w:r>
    </w:p>
    <w:p w14:paraId="64A05FAB" w14:textId="76B85AC4" w:rsidR="66008622" w:rsidRPr="00B4409D" w:rsidRDefault="66008622" w:rsidP="1FF1FC75">
      <w:pPr>
        <w:spacing w:before="240" w:after="240" w:line="276" w:lineRule="auto"/>
        <w:rPr>
          <w:rFonts w:ascii="Figtree" w:eastAsia="Helvetica" w:hAnsi="Figtree" w:cs="Helvetica"/>
          <w:sz w:val="22"/>
          <w:szCs w:val="22"/>
        </w:rPr>
      </w:pPr>
      <w:r w:rsidRPr="00B4409D">
        <w:rPr>
          <w:rFonts w:ascii="Figtree" w:eastAsia="Helvetica" w:hAnsi="Figtree" w:cs="Helvetica"/>
          <w:sz w:val="22"/>
          <w:szCs w:val="22"/>
        </w:rPr>
        <w:t xml:space="preserve">Despite these provisions, the DDA’s implementation has been inconsistent. Denial of reasonable accommodation is not always recognised as unlawful discrimination, creating gaps in protection. The 2017 </w:t>
      </w:r>
      <w:proofErr w:type="spellStart"/>
      <w:r w:rsidRPr="00B4409D">
        <w:rPr>
          <w:rFonts w:ascii="Figtree" w:eastAsia="Helvetica" w:hAnsi="Figtree" w:cs="Helvetica"/>
          <w:sz w:val="22"/>
          <w:szCs w:val="22"/>
        </w:rPr>
        <w:t>Sklavos</w:t>
      </w:r>
      <w:proofErr w:type="spellEnd"/>
      <w:r w:rsidRPr="00B4409D">
        <w:rPr>
          <w:rFonts w:ascii="Figtree" w:eastAsia="Helvetica" w:hAnsi="Figtree" w:cs="Helvetica"/>
          <w:sz w:val="22"/>
          <w:szCs w:val="22"/>
        </w:rPr>
        <w:t xml:space="preserve"> v Australian College of Dermatologists decision by the Full Federal Court further weakened the DDA by requiring individuals to prove that their disability was the reason for the failure to provide adjustments. This interpretation introduced a significant legal hurdle, discouraging complaints and undermining alignment with the UN Convention on the Rights of Persons with Disabilities (CRPD), particularly Articles 5 and 24.</w:t>
      </w:r>
      <w:r w:rsidRPr="00B4409D">
        <w:rPr>
          <w:rStyle w:val="EndnoteReference"/>
          <w:rFonts w:ascii="Figtree" w:eastAsia="Helvetica" w:hAnsi="Figtree" w:cs="Helvetica"/>
          <w:color w:val="000000" w:themeColor="text1"/>
          <w:sz w:val="22"/>
          <w:szCs w:val="22"/>
        </w:rPr>
        <w:endnoteReference w:id="3"/>
      </w:r>
      <w:r w:rsidR="08CBA6E0" w:rsidRPr="00B4409D">
        <w:rPr>
          <w:rFonts w:ascii="Figtree" w:eastAsia="Helvetica" w:hAnsi="Figtree" w:cs="Helvetica"/>
          <w:sz w:val="22"/>
          <w:szCs w:val="22"/>
        </w:rPr>
        <w:t xml:space="preserve"> </w:t>
      </w:r>
      <w:r w:rsidRPr="00B4409D">
        <w:rPr>
          <w:rStyle w:val="EndnoteReference"/>
          <w:rFonts w:ascii="Figtree" w:eastAsia="Helvetica" w:hAnsi="Figtree" w:cs="Helvetica"/>
          <w:sz w:val="22"/>
          <w:szCs w:val="22"/>
        </w:rPr>
        <w:endnoteReference w:id="4"/>
      </w:r>
    </w:p>
    <w:p w14:paraId="03144229" w14:textId="3908FB6B" w:rsidR="66008622" w:rsidRPr="00B4409D" w:rsidRDefault="66008622" w:rsidP="1FF1FC75">
      <w:pPr>
        <w:spacing w:before="240" w:after="240" w:line="276" w:lineRule="auto"/>
        <w:rPr>
          <w:rFonts w:ascii="Figtree" w:eastAsia="Helvetica" w:hAnsi="Figtree" w:cs="Helvetica"/>
          <w:sz w:val="22"/>
          <w:szCs w:val="22"/>
        </w:rPr>
      </w:pPr>
      <w:r w:rsidRPr="00B4409D">
        <w:rPr>
          <w:rFonts w:ascii="Figtree" w:eastAsia="Helvetica" w:hAnsi="Figtree" w:cs="Helvetica"/>
          <w:sz w:val="22"/>
          <w:szCs w:val="22"/>
        </w:rPr>
        <w:t>Policy frameworks in education and employment acknowledge reasonable accommodation, but enforcement remains weak. The frequent use of “unjustifiable hardship” to deny adjustments—often without transparency—exacerbates inequality, especially for women and gender-diverse people with disabilities.</w:t>
      </w:r>
    </w:p>
    <w:p w14:paraId="10005B23" w14:textId="77777777" w:rsidR="00A60497" w:rsidRDefault="66008622" w:rsidP="1FF1FC75">
      <w:pPr>
        <w:spacing w:before="240" w:after="240" w:line="276" w:lineRule="auto"/>
        <w:rPr>
          <w:rFonts w:ascii="Figtree" w:eastAsia="Helvetica" w:hAnsi="Figtree" w:cs="Helvetica"/>
          <w:sz w:val="22"/>
          <w:szCs w:val="22"/>
        </w:rPr>
      </w:pPr>
      <w:r w:rsidRPr="00B4409D">
        <w:rPr>
          <w:rFonts w:ascii="Figtree" w:eastAsia="Helvetica" w:hAnsi="Figtree" w:cs="Helvetica"/>
          <w:sz w:val="22"/>
          <w:szCs w:val="22"/>
        </w:rPr>
        <w:t>The Disability Rights Now CRPD Shadow Report (2019), endorsed by WWDA and PWDA, calls for urgent reform.</w:t>
      </w:r>
      <w:r w:rsidRPr="00B4409D">
        <w:rPr>
          <w:rStyle w:val="EndnoteReference"/>
          <w:rFonts w:ascii="Figtree" w:eastAsia="Helvetica" w:hAnsi="Figtree" w:cs="Helvetica"/>
          <w:sz w:val="22"/>
          <w:szCs w:val="22"/>
        </w:rPr>
        <w:endnoteReference w:id="5"/>
      </w:r>
      <w:r w:rsidRPr="00B4409D">
        <w:rPr>
          <w:rFonts w:ascii="Figtree" w:eastAsia="Helvetica" w:hAnsi="Figtree" w:cs="Helvetica"/>
          <w:sz w:val="22"/>
          <w:szCs w:val="22"/>
        </w:rPr>
        <w:t xml:space="preserve"> Key recommendations include: a standalone provision in the DDA explicitly defining failure to provide reasonable adjustments as discrimination; revised definitions of direct and indirect discrimination to reflect positive duties; and strengthened enforcement mechanisms to ensure timely, accessible remedies. </w:t>
      </w:r>
    </w:p>
    <w:p w14:paraId="66A3446F" w14:textId="7A5FAEC3" w:rsidR="66008622" w:rsidRDefault="00A60497" w:rsidP="1FF1FC75">
      <w:pPr>
        <w:spacing w:before="240" w:after="240" w:line="276" w:lineRule="auto"/>
        <w:rPr>
          <w:rFonts w:ascii="Figtree" w:eastAsia="Helvetica" w:hAnsi="Figtree" w:cs="Helvetica"/>
          <w:sz w:val="22"/>
          <w:szCs w:val="22"/>
        </w:rPr>
      </w:pPr>
      <w:r>
        <w:rPr>
          <w:rFonts w:ascii="Figtree" w:eastAsia="Helvetica" w:hAnsi="Figtree" w:cs="Helvetica"/>
          <w:sz w:val="22"/>
          <w:szCs w:val="22"/>
        </w:rPr>
        <w:t xml:space="preserve">The Australian Government is currently reviewing the DDA, which includes a public consultation process. WWDA and PWDA will be advocating for the above reforms to ensure the DDA is fit for purpose. </w:t>
      </w:r>
    </w:p>
    <w:p w14:paraId="13D00BC0" w14:textId="77777777" w:rsidR="000B2F0D" w:rsidRPr="00B4409D" w:rsidRDefault="000B2F0D" w:rsidP="1FF1FC75">
      <w:pPr>
        <w:spacing w:before="240" w:after="240" w:line="276" w:lineRule="auto"/>
        <w:rPr>
          <w:rFonts w:ascii="Figtree" w:eastAsia="Helvetica" w:hAnsi="Figtree" w:cs="Helvetica"/>
          <w:sz w:val="22"/>
          <w:szCs w:val="22"/>
        </w:rPr>
      </w:pPr>
    </w:p>
    <w:p w14:paraId="360655FB" w14:textId="5AE64AD6" w:rsidR="00C311C1" w:rsidRDefault="08A15283" w:rsidP="228E0351">
      <w:pPr>
        <w:pStyle w:val="Heading3"/>
        <w:rPr>
          <w:rFonts w:ascii="Figtree" w:eastAsia="Helvetica" w:hAnsi="Figtree" w:cs="Helvetica"/>
          <w:b/>
          <w:bCs/>
          <w:color w:val="77206D" w:themeColor="accent5" w:themeShade="BF"/>
          <w:sz w:val="32"/>
          <w:szCs w:val="32"/>
        </w:rPr>
      </w:pPr>
      <w:bookmarkStart w:id="3" w:name="_Toc982459230"/>
      <w:r w:rsidRPr="000B2F0D">
        <w:rPr>
          <w:rFonts w:ascii="Figtree" w:eastAsia="Helvetica" w:hAnsi="Figtree" w:cs="Helvetica"/>
          <w:b/>
          <w:bCs/>
          <w:color w:val="77206D" w:themeColor="accent5" w:themeShade="BF"/>
          <w:sz w:val="32"/>
          <w:szCs w:val="32"/>
        </w:rPr>
        <w:t xml:space="preserve">The </w:t>
      </w:r>
      <w:r w:rsidR="166C8DAD" w:rsidRPr="000B2F0D">
        <w:rPr>
          <w:rFonts w:ascii="Figtree" w:eastAsia="Helvetica" w:hAnsi="Figtree" w:cs="Helvetica"/>
          <w:b/>
          <w:bCs/>
          <w:color w:val="77206D" w:themeColor="accent5" w:themeShade="BF"/>
          <w:sz w:val="32"/>
          <w:szCs w:val="32"/>
        </w:rPr>
        <w:t>Disability Royal Commission</w:t>
      </w:r>
      <w:bookmarkEnd w:id="3"/>
    </w:p>
    <w:p w14:paraId="4A5281E3" w14:textId="77777777" w:rsidR="006A70C9" w:rsidRPr="006A70C9" w:rsidRDefault="006A70C9" w:rsidP="006A70C9">
      <w:pPr>
        <w:rPr>
          <w:rFonts w:eastAsia="Helvetica"/>
        </w:rPr>
      </w:pPr>
    </w:p>
    <w:p w14:paraId="2B9EBF01" w14:textId="14A62E89" w:rsidR="228E0351" w:rsidRPr="00B4409D" w:rsidRDefault="440CB056" w:rsidP="228E0351">
      <w:pPr>
        <w:spacing w:line="276" w:lineRule="auto"/>
        <w:rPr>
          <w:rFonts w:ascii="Figtree" w:eastAsia="Helvetica" w:hAnsi="Figtree" w:cs="Helvetica"/>
          <w:sz w:val="22"/>
          <w:szCs w:val="22"/>
        </w:rPr>
      </w:pPr>
      <w:r w:rsidRPr="00B4409D">
        <w:rPr>
          <w:rFonts w:ascii="Figtree" w:eastAsia="Helvetica" w:hAnsi="Figtree" w:cs="Helvetica"/>
          <w:sz w:val="22"/>
          <w:szCs w:val="22"/>
        </w:rPr>
        <w:t xml:space="preserve">The </w:t>
      </w:r>
      <w:r w:rsidR="293559CA" w:rsidRPr="00B4409D">
        <w:rPr>
          <w:rFonts w:ascii="Figtree" w:eastAsia="Helvetica" w:hAnsi="Figtree" w:cs="Helvetica"/>
          <w:sz w:val="22"/>
          <w:szCs w:val="22"/>
        </w:rPr>
        <w:t>Disability Royal Commission</w:t>
      </w:r>
      <w:r w:rsidRPr="00B4409D">
        <w:rPr>
          <w:rFonts w:ascii="Figtree" w:eastAsia="Helvetica" w:hAnsi="Figtree" w:cs="Helvetica"/>
          <w:sz w:val="22"/>
          <w:szCs w:val="22"/>
        </w:rPr>
        <w:t xml:space="preserve"> (DRC) ha</w:t>
      </w:r>
      <w:r w:rsidR="293559CA" w:rsidRPr="00B4409D">
        <w:rPr>
          <w:rFonts w:ascii="Figtree" w:eastAsia="Helvetica" w:hAnsi="Figtree" w:cs="Helvetica"/>
          <w:sz w:val="22"/>
          <w:szCs w:val="22"/>
        </w:rPr>
        <w:t>s made several recommendations to address disability discrimination</w:t>
      </w:r>
      <w:r w:rsidRPr="00B4409D" w:rsidDel="481AF7C6">
        <w:rPr>
          <w:rFonts w:ascii="Figtree" w:eastAsia="Helvetica" w:hAnsi="Figtree" w:cs="Helvetica"/>
          <w:sz w:val="22"/>
          <w:szCs w:val="22"/>
        </w:rPr>
        <w:t xml:space="preserve"> </w:t>
      </w:r>
      <w:r w:rsidR="293559CA" w:rsidRPr="00B4409D">
        <w:rPr>
          <w:rFonts w:ascii="Figtree" w:eastAsia="Helvetica" w:hAnsi="Figtree" w:cs="Helvetica"/>
          <w:sz w:val="22"/>
          <w:szCs w:val="22"/>
        </w:rPr>
        <w:t>in Australia.</w:t>
      </w:r>
      <w:r w:rsidR="166C8DAD" w:rsidRPr="00B4409D">
        <w:rPr>
          <w:rStyle w:val="EndnoteReference"/>
          <w:rFonts w:ascii="Figtree" w:eastAsia="Helvetica" w:hAnsi="Figtree" w:cs="Helvetica"/>
          <w:sz w:val="22"/>
          <w:szCs w:val="22"/>
        </w:rPr>
        <w:endnoteReference w:id="6"/>
      </w:r>
      <w:r w:rsidR="293559CA" w:rsidRPr="00B4409D">
        <w:rPr>
          <w:rFonts w:ascii="Figtree" w:eastAsia="Helvetica" w:hAnsi="Figtree" w:cs="Helvetica"/>
          <w:sz w:val="22"/>
          <w:szCs w:val="22"/>
        </w:rPr>
        <w:t xml:space="preserve"> These recommendations emphasise the need for legislative reform to recogni</w:t>
      </w:r>
      <w:r w:rsidR="572AB385" w:rsidRPr="00B4409D">
        <w:rPr>
          <w:rFonts w:ascii="Figtree" w:eastAsia="Helvetica" w:hAnsi="Figtree" w:cs="Helvetica"/>
          <w:sz w:val="22"/>
          <w:szCs w:val="22"/>
        </w:rPr>
        <w:t>s</w:t>
      </w:r>
      <w:r w:rsidR="293559CA" w:rsidRPr="00B4409D">
        <w:rPr>
          <w:rFonts w:ascii="Figtree" w:eastAsia="Helvetica" w:hAnsi="Figtree" w:cs="Helvetica"/>
          <w:sz w:val="22"/>
          <w:szCs w:val="22"/>
        </w:rPr>
        <w:t xml:space="preserve">e the denial of reasonable accommodation as a form of </w:t>
      </w:r>
      <w:r w:rsidR="293559CA" w:rsidRPr="00B4409D">
        <w:rPr>
          <w:rFonts w:ascii="Figtree" w:eastAsia="Helvetica" w:hAnsi="Figtree" w:cs="Helvetica"/>
          <w:sz w:val="22"/>
          <w:szCs w:val="22"/>
        </w:rPr>
        <w:lastRenderedPageBreak/>
        <w:t xml:space="preserve">discrimination, including through an explicit standalone provision in the DDA. Additionally, the DRC recommended amendments to the definitions of direct and indirect discrimination to reflect the positive duty to accommodate. Strengthening enforcement mechanisms and complaint pathways is also recommended to ensure accessible, timely, and effective remedies. These recommendations aim to align Australia's legal framework with the principles outlined in the CRPD, particularly Articles 5 and </w:t>
      </w:r>
      <w:r w:rsidR="3AAC3041" w:rsidRPr="00B4409D">
        <w:rPr>
          <w:rFonts w:ascii="Figtree" w:eastAsia="Helvetica" w:hAnsi="Figtree" w:cs="Helvetica"/>
          <w:sz w:val="22"/>
          <w:szCs w:val="22"/>
        </w:rPr>
        <w:t>24.</w:t>
      </w:r>
    </w:p>
    <w:p w14:paraId="32EB0DCD" w14:textId="30BAE69E" w:rsidR="6E52703F" w:rsidRPr="00B4409D" w:rsidRDefault="6E52703F" w:rsidP="6E52703F">
      <w:pPr>
        <w:spacing w:line="276" w:lineRule="auto"/>
        <w:rPr>
          <w:rFonts w:ascii="Figtree" w:eastAsia="Helvetica" w:hAnsi="Figtree" w:cs="Helvetica"/>
          <w:sz w:val="22"/>
          <w:szCs w:val="22"/>
        </w:rPr>
      </w:pPr>
    </w:p>
    <w:p w14:paraId="1F8FBA20" w14:textId="0FD9F079" w:rsidR="6E52703F" w:rsidRPr="00B4409D" w:rsidRDefault="293559CA" w:rsidP="6E52703F">
      <w:pPr>
        <w:spacing w:line="276" w:lineRule="auto"/>
        <w:rPr>
          <w:rFonts w:ascii="Figtree" w:eastAsia="Helvetica" w:hAnsi="Figtree" w:cs="Helvetica"/>
          <w:sz w:val="22"/>
          <w:szCs w:val="22"/>
        </w:rPr>
      </w:pPr>
      <w:r w:rsidRPr="00B4409D">
        <w:rPr>
          <w:rFonts w:ascii="Figtree" w:eastAsia="Helvetica" w:hAnsi="Figtree" w:cs="Helvetica"/>
          <w:sz w:val="22"/>
          <w:szCs w:val="22"/>
        </w:rPr>
        <w:t>Additionally, Australian Disability Representative Organisations (DROs) have</w:t>
      </w:r>
      <w:r w:rsidRPr="00B4409D" w:rsidDel="481AF7C6">
        <w:rPr>
          <w:rFonts w:ascii="Figtree" w:eastAsia="Helvetica" w:hAnsi="Figtree" w:cs="Helvetica"/>
          <w:sz w:val="22"/>
          <w:szCs w:val="22"/>
        </w:rPr>
        <w:t xml:space="preserve"> </w:t>
      </w:r>
      <w:r w:rsidRPr="00B4409D">
        <w:rPr>
          <w:rFonts w:ascii="Figtree" w:eastAsia="Helvetica" w:hAnsi="Figtree" w:cs="Helvetica"/>
          <w:sz w:val="22"/>
          <w:szCs w:val="22"/>
        </w:rPr>
        <w:t>issued a joint statement advocating for a national Human Rights Act, that includes specific protections for people with disability.</w:t>
      </w:r>
      <w:r w:rsidR="00F14A7A" w:rsidRPr="00B4409D">
        <w:rPr>
          <w:rStyle w:val="EndnoteReference"/>
          <w:rFonts w:ascii="Figtree" w:eastAsia="Helvetica" w:hAnsi="Figtree" w:cs="Helvetica"/>
          <w:sz w:val="22"/>
          <w:szCs w:val="22"/>
        </w:rPr>
        <w:endnoteReference w:id="7"/>
      </w:r>
      <w:r w:rsidRPr="00B4409D">
        <w:rPr>
          <w:rFonts w:ascii="Figtree" w:eastAsia="Helvetica" w:hAnsi="Figtree" w:cs="Helvetica"/>
          <w:sz w:val="22"/>
          <w:szCs w:val="22"/>
        </w:rPr>
        <w:t xml:space="preserve"> This position is grounded in the findings of the DRC, which exposed widespread systemic abuse and neglect of people with disability in Australia.  Embedding disability rights within a broader human rights framework offers stronger, more enforceable protections.  The statement also calls for inclusive consultation, intersectional protections, reform to the DDA, positive duties public authorities, and adequate resourcing to support systemic change. The Attorney</w:t>
      </w:r>
      <w:r w:rsidR="481AF7C6" w:rsidRPr="00B4409D">
        <w:rPr>
          <w:rFonts w:ascii="Figtree" w:eastAsia="Helvetica" w:hAnsi="Figtree" w:cs="Helvetica"/>
          <w:sz w:val="22"/>
          <w:szCs w:val="22"/>
        </w:rPr>
        <w:t>-</w:t>
      </w:r>
      <w:r w:rsidRPr="00B4409D">
        <w:rPr>
          <w:rFonts w:ascii="Figtree" w:eastAsia="Helvetica" w:hAnsi="Figtree" w:cs="Helvetica"/>
          <w:sz w:val="22"/>
          <w:szCs w:val="22"/>
        </w:rPr>
        <w:t>General’s Department (AGD) is currently considering the Parliamentary Joint Committee on Human Rights’ (PJCHR) recommendation for such an act.</w:t>
      </w:r>
      <w:r w:rsidR="6E52703F" w:rsidRPr="00B4409D">
        <w:rPr>
          <w:rStyle w:val="EndnoteReference"/>
          <w:rFonts w:ascii="Figtree" w:eastAsia="Helvetica" w:hAnsi="Figtree" w:cs="Helvetica"/>
          <w:sz w:val="22"/>
          <w:szCs w:val="22"/>
        </w:rPr>
        <w:endnoteReference w:id="8"/>
      </w:r>
    </w:p>
    <w:p w14:paraId="02FE9D55" w14:textId="2D21D686" w:rsidR="318643F8" w:rsidRDefault="4058822F" w:rsidP="0021725F">
      <w:pPr>
        <w:spacing w:before="100" w:beforeAutospacing="1" w:after="100" w:afterAutospacing="1" w:line="300" w:lineRule="atLeast"/>
        <w:rPr>
          <w:rFonts w:ascii="Figtree" w:eastAsia="Helvetica" w:hAnsi="Figtree" w:cs="Helvetica"/>
          <w:sz w:val="22"/>
          <w:szCs w:val="22"/>
        </w:rPr>
      </w:pPr>
      <w:r w:rsidRPr="00B4409D">
        <w:rPr>
          <w:rFonts w:ascii="Figtree" w:eastAsia="Helvetica" w:hAnsi="Figtree" w:cs="Helvetica"/>
          <w:sz w:val="22"/>
          <w:szCs w:val="22"/>
        </w:rPr>
        <w:t>While</w:t>
      </w:r>
      <w:r w:rsidR="481AF7C6" w:rsidRPr="00B4409D">
        <w:rPr>
          <w:rFonts w:ascii="Figtree" w:eastAsia="Helvetica" w:hAnsi="Figtree" w:cs="Helvetica"/>
          <w:sz w:val="22"/>
          <w:szCs w:val="22"/>
        </w:rPr>
        <w:t xml:space="preserve"> Australia’s legislative framework recognises disability discrimination, the denial of reasonable accommodation remains inadequately addressed. This submission joins ongoing calls for clear, enforceable, and rights-based reforms to ensure that people with disability—particularly women, girls, and gender-diverse people—can access their rights without systemic barriers or legal ambiguity.</w:t>
      </w:r>
    </w:p>
    <w:p w14:paraId="2FCD737A" w14:textId="77777777" w:rsidR="000B2F0D" w:rsidRPr="00B4409D" w:rsidRDefault="000B2F0D" w:rsidP="0021725F">
      <w:pPr>
        <w:spacing w:before="100" w:beforeAutospacing="1" w:after="100" w:afterAutospacing="1" w:line="300" w:lineRule="atLeast"/>
        <w:rPr>
          <w:rStyle w:val="normaltextrun"/>
          <w:rFonts w:ascii="Figtree" w:eastAsia="Helvetica" w:hAnsi="Figtree" w:cs="Helvetica"/>
          <w:color w:val="000000" w:themeColor="text1"/>
          <w:sz w:val="22"/>
          <w:szCs w:val="22"/>
        </w:rPr>
      </w:pPr>
    </w:p>
    <w:p w14:paraId="7D2D66B5" w14:textId="240F5A30" w:rsidR="228E0351" w:rsidRDefault="293559CA" w:rsidP="00FA00AB">
      <w:pPr>
        <w:pStyle w:val="Heading2"/>
        <w:numPr>
          <w:ilvl w:val="0"/>
          <w:numId w:val="3"/>
        </w:numPr>
        <w:rPr>
          <w:rFonts w:ascii="Figtree" w:eastAsia="Helvetica" w:hAnsi="Figtree" w:cs="Helvetica"/>
        </w:rPr>
      </w:pPr>
      <w:bookmarkStart w:id="4" w:name="_Toc1200376528"/>
      <w:r w:rsidRPr="00B4409D">
        <w:rPr>
          <w:rFonts w:ascii="Figtree" w:eastAsia="Helvetica" w:hAnsi="Figtree" w:cs="Helvetica"/>
        </w:rPr>
        <w:t>Do the anti-discrimination legislation and/or policy frameworks in force in your country recogni</w:t>
      </w:r>
      <w:r w:rsidR="572AB385" w:rsidRPr="00B4409D">
        <w:rPr>
          <w:rFonts w:ascii="Figtree" w:eastAsia="Helvetica" w:hAnsi="Figtree" w:cs="Helvetica"/>
        </w:rPr>
        <w:t>s</w:t>
      </w:r>
      <w:r w:rsidRPr="00B4409D">
        <w:rPr>
          <w:rFonts w:ascii="Figtree" w:eastAsia="Helvetica" w:hAnsi="Figtree" w:cs="Helvetica"/>
        </w:rPr>
        <w:t>e the multiple and intersecting forms of discrimination affecting women with disabilities on account of their disability and other factors, such as sex, gender, ethnicity, migration status, origin, socio-economic status, religious beliefs, etc.?</w:t>
      </w:r>
      <w:bookmarkEnd w:id="4"/>
      <w:r w:rsidRPr="00B4409D">
        <w:rPr>
          <w:rFonts w:ascii="Figtree" w:eastAsia="Helvetica" w:hAnsi="Figtree" w:cs="Helvetica"/>
        </w:rPr>
        <w:t> </w:t>
      </w:r>
    </w:p>
    <w:p w14:paraId="04BB756A" w14:textId="77777777" w:rsidR="000B2F0D" w:rsidRPr="000B2F0D" w:rsidRDefault="000B2F0D" w:rsidP="000B2F0D">
      <w:pPr>
        <w:rPr>
          <w:rFonts w:eastAsia="Helvetica"/>
        </w:rPr>
      </w:pPr>
    </w:p>
    <w:p w14:paraId="3555FA74" w14:textId="77777777" w:rsidR="00FA00AB" w:rsidRPr="00B4409D" w:rsidRDefault="00FA00AB" w:rsidP="00FA00AB">
      <w:pPr>
        <w:rPr>
          <w:rFonts w:ascii="Figtree" w:eastAsia="Helvetica" w:hAnsi="Figtree"/>
        </w:rPr>
      </w:pPr>
    </w:p>
    <w:p w14:paraId="7D5B4C2A" w14:textId="593BA4D5" w:rsidR="047C2C42" w:rsidRDefault="481AF7C6" w:rsidP="228E0351">
      <w:pPr>
        <w:spacing w:line="276" w:lineRule="auto"/>
        <w:rPr>
          <w:rFonts w:ascii="Figtree" w:eastAsia="Helvetica" w:hAnsi="Figtree" w:cs="Helvetica"/>
          <w:sz w:val="22"/>
          <w:szCs w:val="22"/>
        </w:rPr>
      </w:pPr>
      <w:r w:rsidRPr="00B4409D">
        <w:rPr>
          <w:rFonts w:ascii="Figtree" w:eastAsia="Helvetica" w:hAnsi="Figtree" w:cs="Helvetica"/>
          <w:sz w:val="22"/>
          <w:szCs w:val="22"/>
        </w:rPr>
        <w:t>Australia’s current anti-discrimination legislation and frameworks do not adequately recognise or respond to the multiple and intersecting forms of discrimination experienced by women, girls, and gender-diverse people with disabilities. Despite Australia’s obligations under international instruments such as CRPD and the CEDAW, domestic laws remain fragmented, gender-neutral, and insufficiently attuned to intersectionality.</w:t>
      </w:r>
    </w:p>
    <w:p w14:paraId="2C154CC9" w14:textId="77777777" w:rsidR="000B2F0D" w:rsidRPr="00B4409D" w:rsidRDefault="000B2F0D" w:rsidP="228E0351">
      <w:pPr>
        <w:spacing w:line="276" w:lineRule="auto"/>
        <w:rPr>
          <w:rFonts w:ascii="Figtree" w:eastAsia="Helvetica" w:hAnsi="Figtree" w:cs="Helvetica"/>
          <w:sz w:val="22"/>
          <w:szCs w:val="22"/>
        </w:rPr>
      </w:pPr>
    </w:p>
    <w:p w14:paraId="14DD10D2" w14:textId="47181630" w:rsidR="047C2C42" w:rsidRPr="000B2F0D" w:rsidRDefault="047C2C42" w:rsidP="228E0351">
      <w:pPr>
        <w:pStyle w:val="Heading3"/>
        <w:rPr>
          <w:rFonts w:ascii="Figtree" w:eastAsia="Helvetica" w:hAnsi="Figtree" w:cs="Helvetica"/>
          <w:b/>
          <w:bCs/>
          <w:color w:val="77206D" w:themeColor="accent5" w:themeShade="BF"/>
          <w:sz w:val="32"/>
          <w:szCs w:val="32"/>
        </w:rPr>
      </w:pPr>
      <w:bookmarkStart w:id="5" w:name="_Toc1938646665"/>
      <w:r w:rsidRPr="000B2F0D">
        <w:rPr>
          <w:rFonts w:ascii="Figtree" w:eastAsia="Helvetica" w:hAnsi="Figtree" w:cs="Helvetica"/>
          <w:b/>
          <w:bCs/>
          <w:color w:val="77206D" w:themeColor="accent5" w:themeShade="BF"/>
          <w:sz w:val="32"/>
          <w:szCs w:val="32"/>
        </w:rPr>
        <w:lastRenderedPageBreak/>
        <w:t>Legislative gaps and fragmentation</w:t>
      </w:r>
      <w:bookmarkEnd w:id="5"/>
    </w:p>
    <w:p w14:paraId="1BEE31B3" w14:textId="59D25015" w:rsidR="047C2C42" w:rsidRPr="00B4409D" w:rsidRDefault="047C2C42" w:rsidP="228E0351">
      <w:pPr>
        <w:spacing w:before="240" w:after="240" w:line="276" w:lineRule="auto"/>
        <w:rPr>
          <w:rFonts w:ascii="Figtree" w:eastAsia="Helvetica" w:hAnsi="Figtree" w:cs="Helvetica"/>
          <w:sz w:val="22"/>
          <w:szCs w:val="22"/>
        </w:rPr>
      </w:pPr>
      <w:r w:rsidRPr="00B4409D">
        <w:rPr>
          <w:rFonts w:ascii="Figtree" w:eastAsia="Helvetica" w:hAnsi="Figtree" w:cs="Helvetica"/>
          <w:sz w:val="22"/>
          <w:szCs w:val="22"/>
        </w:rPr>
        <w:t>Australian discrimination law is structured around discrete grounds</w:t>
      </w:r>
      <w:r w:rsidR="0F4BBE05" w:rsidRPr="00B4409D">
        <w:rPr>
          <w:rFonts w:ascii="Figtree" w:eastAsia="Helvetica" w:hAnsi="Figtree" w:cs="Helvetica"/>
          <w:sz w:val="22"/>
          <w:szCs w:val="22"/>
        </w:rPr>
        <w:t xml:space="preserve"> </w:t>
      </w:r>
      <w:r w:rsidRPr="00B4409D">
        <w:rPr>
          <w:rFonts w:ascii="Figtree" w:eastAsia="Helvetica" w:hAnsi="Figtree" w:cs="Helvetica"/>
          <w:sz w:val="22"/>
          <w:szCs w:val="22"/>
        </w:rPr>
        <w:t>resulting in a siloed approach.</w:t>
      </w:r>
      <w:r w:rsidRPr="00B4409D">
        <w:rPr>
          <w:rStyle w:val="EndnoteReference"/>
          <w:rFonts w:ascii="Figtree" w:eastAsia="Helvetica" w:hAnsi="Figtree" w:cs="Helvetica"/>
          <w:sz w:val="22"/>
          <w:szCs w:val="22"/>
        </w:rPr>
        <w:endnoteReference w:id="9"/>
      </w:r>
      <w:r w:rsidRPr="00B4409D">
        <w:rPr>
          <w:rFonts w:ascii="Figtree" w:eastAsia="Helvetica" w:hAnsi="Figtree" w:cs="Helvetica"/>
          <w:sz w:val="22"/>
          <w:szCs w:val="22"/>
        </w:rPr>
        <w:t xml:space="preserve"> This legal architecture obscures the lived realities of those who experience compounded discrimination across multiple dimensions simultaneously.</w:t>
      </w:r>
    </w:p>
    <w:p w14:paraId="3C83B844" w14:textId="0F91EBC0" w:rsidR="047C2C42" w:rsidRPr="00B4409D" w:rsidRDefault="047C2C42" w:rsidP="228E0351">
      <w:pPr>
        <w:spacing w:before="240" w:after="240"/>
        <w:rPr>
          <w:rFonts w:ascii="Figtree" w:eastAsia="Helvetica" w:hAnsi="Figtree" w:cs="Helvetica"/>
          <w:sz w:val="22"/>
          <w:szCs w:val="22"/>
        </w:rPr>
      </w:pPr>
      <w:r w:rsidRPr="00B4409D">
        <w:rPr>
          <w:rFonts w:ascii="Figtree" w:eastAsia="Helvetica" w:hAnsi="Figtree" w:cs="Helvetica"/>
          <w:sz w:val="22"/>
          <w:szCs w:val="22"/>
        </w:rPr>
        <w:t>Notably:</w:t>
      </w:r>
    </w:p>
    <w:p w14:paraId="63C551D3" w14:textId="253B6C56" w:rsidR="047C2C42" w:rsidRPr="00B4409D" w:rsidRDefault="481AF7C6" w:rsidP="228E0351">
      <w:pPr>
        <w:pStyle w:val="ListParagraph"/>
        <w:numPr>
          <w:ilvl w:val="0"/>
          <w:numId w:val="6"/>
        </w:numPr>
        <w:spacing w:line="276" w:lineRule="auto"/>
        <w:rPr>
          <w:rFonts w:ascii="Figtree" w:eastAsia="Helvetica" w:hAnsi="Figtree" w:cs="Helvetica"/>
          <w:sz w:val="22"/>
          <w:szCs w:val="22"/>
        </w:rPr>
      </w:pPr>
      <w:r w:rsidRPr="00B4409D">
        <w:rPr>
          <w:rFonts w:ascii="Figtree" w:eastAsia="Helvetica" w:hAnsi="Figtree" w:cs="Helvetica"/>
          <w:sz w:val="22"/>
          <w:szCs w:val="22"/>
        </w:rPr>
        <w:t>The DDA does not prohibit systemic or intersectional discrimination.</w:t>
      </w:r>
    </w:p>
    <w:p w14:paraId="1E36721B" w14:textId="23B9733A" w:rsidR="047C2C42" w:rsidRPr="00B4409D" w:rsidRDefault="481AF7C6" w:rsidP="228E0351">
      <w:pPr>
        <w:pStyle w:val="ListParagraph"/>
        <w:numPr>
          <w:ilvl w:val="0"/>
          <w:numId w:val="6"/>
        </w:numPr>
        <w:spacing w:line="276" w:lineRule="auto"/>
        <w:rPr>
          <w:rFonts w:ascii="Figtree" w:eastAsia="Helvetica" w:hAnsi="Figtree" w:cs="Helvetica"/>
          <w:sz w:val="22"/>
          <w:szCs w:val="22"/>
        </w:rPr>
      </w:pPr>
      <w:r w:rsidRPr="00B4409D">
        <w:rPr>
          <w:rFonts w:ascii="Figtree" w:eastAsia="Helvetica" w:hAnsi="Figtree" w:cs="Helvetica"/>
          <w:sz w:val="22"/>
          <w:szCs w:val="22"/>
        </w:rPr>
        <w:t>Gender identity and sexual orientation are inconsistently recognised, leaving trans, non-binary, and LGBTQIA+ people with disabilities without adequate legal protection. The CRPD General Comment No. 6 (para 19) affirms the obligation of States Parties to “recognise the particular barriers faced by LGBTI persons with disabilities</w:t>
      </w:r>
      <w:r w:rsidR="4058822F" w:rsidRPr="00B4409D">
        <w:rPr>
          <w:rFonts w:ascii="Figtree" w:eastAsia="Helvetica" w:hAnsi="Figtree" w:cs="Helvetica"/>
          <w:sz w:val="22"/>
          <w:szCs w:val="22"/>
        </w:rPr>
        <w:t>”.</w:t>
      </w:r>
    </w:p>
    <w:p w14:paraId="4A5DEFB3" w14:textId="64234074" w:rsidR="047C2C42" w:rsidRDefault="047C2C42" w:rsidP="228E0351">
      <w:pPr>
        <w:pStyle w:val="ListParagraph"/>
        <w:numPr>
          <w:ilvl w:val="0"/>
          <w:numId w:val="6"/>
        </w:numPr>
        <w:spacing w:line="276" w:lineRule="auto"/>
        <w:rPr>
          <w:rFonts w:ascii="Figtree" w:eastAsia="Helvetica" w:hAnsi="Figtree" w:cs="Helvetica"/>
          <w:sz w:val="22"/>
          <w:szCs w:val="22"/>
        </w:rPr>
      </w:pPr>
      <w:r w:rsidRPr="00B4409D">
        <w:rPr>
          <w:rFonts w:ascii="Figtree" w:eastAsia="Helvetica" w:hAnsi="Figtree" w:cs="Helvetica"/>
          <w:sz w:val="22"/>
          <w:szCs w:val="22"/>
        </w:rPr>
        <w:t>The Tickle v Giggle case currently under appeal underscores the ambiguity in interpreting gender identity and sex under the SDA, with significant implications for trans women’s rights.</w:t>
      </w:r>
      <w:r w:rsidRPr="00B4409D">
        <w:rPr>
          <w:rStyle w:val="EndnoteReference"/>
          <w:rFonts w:ascii="Figtree" w:eastAsia="Helvetica" w:hAnsi="Figtree" w:cs="Helvetica"/>
          <w:sz w:val="22"/>
          <w:szCs w:val="22"/>
        </w:rPr>
        <w:endnoteReference w:id="10"/>
      </w:r>
    </w:p>
    <w:p w14:paraId="19D55823" w14:textId="77777777" w:rsidR="000B2F0D" w:rsidRPr="00B4409D" w:rsidRDefault="000B2F0D" w:rsidP="000B2F0D">
      <w:pPr>
        <w:pStyle w:val="ListParagraph"/>
        <w:spacing w:line="276" w:lineRule="auto"/>
        <w:rPr>
          <w:rFonts w:ascii="Figtree" w:eastAsia="Helvetica" w:hAnsi="Figtree" w:cs="Helvetica"/>
          <w:sz w:val="22"/>
          <w:szCs w:val="22"/>
        </w:rPr>
      </w:pPr>
    </w:p>
    <w:p w14:paraId="1F43CA5F" w14:textId="0F558D6D" w:rsidR="0BAA25E4" w:rsidRPr="000B2F0D" w:rsidRDefault="0BAA25E4" w:rsidP="4058822F">
      <w:pPr>
        <w:pStyle w:val="Heading3"/>
        <w:spacing w:before="240" w:after="240" w:line="276" w:lineRule="auto"/>
        <w:rPr>
          <w:rFonts w:ascii="Figtree" w:eastAsia="Helvetica" w:hAnsi="Figtree" w:cs="Helvetica"/>
          <w:b/>
          <w:bCs/>
          <w:color w:val="77206D" w:themeColor="accent5" w:themeShade="BF"/>
          <w:sz w:val="32"/>
          <w:szCs w:val="32"/>
        </w:rPr>
      </w:pPr>
      <w:bookmarkStart w:id="6" w:name="_Toc188636669"/>
      <w:r w:rsidRPr="000B2F0D">
        <w:rPr>
          <w:rFonts w:ascii="Figtree" w:eastAsia="Helvetica" w:hAnsi="Figtree" w:cs="Helvetica"/>
          <w:b/>
          <w:bCs/>
          <w:color w:val="77206D" w:themeColor="accent5" w:themeShade="BF"/>
          <w:sz w:val="32"/>
          <w:szCs w:val="32"/>
        </w:rPr>
        <w:t>P</w:t>
      </w:r>
      <w:r w:rsidR="047C2C42" w:rsidRPr="000B2F0D">
        <w:rPr>
          <w:rFonts w:ascii="Figtree" w:eastAsia="Helvetica" w:hAnsi="Figtree" w:cs="Helvetica"/>
          <w:b/>
          <w:bCs/>
          <w:color w:val="77206D" w:themeColor="accent5" w:themeShade="BF"/>
          <w:sz w:val="32"/>
          <w:szCs w:val="32"/>
        </w:rPr>
        <w:t xml:space="preserve">olicy </w:t>
      </w:r>
      <w:r w:rsidR="10C27D18" w:rsidRPr="000B2F0D">
        <w:rPr>
          <w:rFonts w:ascii="Figtree" w:eastAsia="Helvetica" w:hAnsi="Figtree" w:cs="Helvetica"/>
          <w:b/>
          <w:bCs/>
          <w:color w:val="77206D" w:themeColor="accent5" w:themeShade="BF"/>
          <w:sz w:val="32"/>
          <w:szCs w:val="32"/>
        </w:rPr>
        <w:t>f</w:t>
      </w:r>
      <w:r w:rsidR="047C2C42" w:rsidRPr="000B2F0D">
        <w:rPr>
          <w:rFonts w:ascii="Figtree" w:eastAsia="Helvetica" w:hAnsi="Figtree" w:cs="Helvetica"/>
          <w:b/>
          <w:bCs/>
          <w:color w:val="77206D" w:themeColor="accent5" w:themeShade="BF"/>
          <w:sz w:val="32"/>
          <w:szCs w:val="32"/>
        </w:rPr>
        <w:t xml:space="preserve">rameworks and </w:t>
      </w:r>
      <w:r w:rsidR="71428097" w:rsidRPr="000B2F0D">
        <w:rPr>
          <w:rFonts w:ascii="Figtree" w:eastAsia="Helvetica" w:hAnsi="Figtree" w:cs="Helvetica"/>
          <w:b/>
          <w:bCs/>
          <w:color w:val="77206D" w:themeColor="accent5" w:themeShade="BF"/>
          <w:sz w:val="32"/>
          <w:szCs w:val="32"/>
        </w:rPr>
        <w:t>m</w:t>
      </w:r>
      <w:r w:rsidR="047C2C42" w:rsidRPr="000B2F0D">
        <w:rPr>
          <w:rFonts w:ascii="Figtree" w:eastAsia="Helvetica" w:hAnsi="Figtree" w:cs="Helvetica"/>
          <w:b/>
          <w:bCs/>
          <w:color w:val="77206D" w:themeColor="accent5" w:themeShade="BF"/>
          <w:sz w:val="32"/>
          <w:szCs w:val="32"/>
        </w:rPr>
        <w:t xml:space="preserve">issed </w:t>
      </w:r>
      <w:r w:rsidR="201DD3F6" w:rsidRPr="000B2F0D">
        <w:rPr>
          <w:rFonts w:ascii="Figtree" w:eastAsia="Helvetica" w:hAnsi="Figtree" w:cs="Helvetica"/>
          <w:b/>
          <w:bCs/>
          <w:color w:val="77206D" w:themeColor="accent5" w:themeShade="BF"/>
          <w:sz w:val="32"/>
          <w:szCs w:val="32"/>
        </w:rPr>
        <w:t>o</w:t>
      </w:r>
      <w:r w:rsidR="047C2C42" w:rsidRPr="000B2F0D">
        <w:rPr>
          <w:rFonts w:ascii="Figtree" w:eastAsia="Helvetica" w:hAnsi="Figtree" w:cs="Helvetica"/>
          <w:b/>
          <w:bCs/>
          <w:color w:val="77206D" w:themeColor="accent5" w:themeShade="BF"/>
          <w:sz w:val="32"/>
          <w:szCs w:val="32"/>
        </w:rPr>
        <w:t>pportunities</w:t>
      </w:r>
      <w:bookmarkEnd w:id="6"/>
    </w:p>
    <w:p w14:paraId="2DAF7DAE" w14:textId="7CD97187" w:rsidR="047C2C42" w:rsidRDefault="047C2C42" w:rsidP="228E0351">
      <w:pPr>
        <w:spacing w:before="240" w:after="240" w:line="276" w:lineRule="auto"/>
        <w:rPr>
          <w:rFonts w:ascii="Figtree" w:eastAsia="Helvetica" w:hAnsi="Figtree" w:cs="Helvetica"/>
          <w:sz w:val="22"/>
          <w:szCs w:val="22"/>
        </w:rPr>
      </w:pPr>
      <w:r w:rsidRPr="00B4409D">
        <w:rPr>
          <w:rFonts w:ascii="Figtree" w:eastAsia="Helvetica" w:hAnsi="Figtree" w:cs="Helvetica"/>
          <w:sz w:val="22"/>
          <w:szCs w:val="22"/>
        </w:rPr>
        <w:t>National policy instruments such as Australia’s Disability Strategy (2021–2031) continue to lack gender-specific and intersectional measures. Reviews of these frameworks have identified gender equality as a persistent gap, with women with disability largely excluded from targeted strategies—despite references to other population cohorts such as Indigenous and culturally diverse communities.</w:t>
      </w:r>
      <w:r w:rsidRPr="00B4409D">
        <w:rPr>
          <w:rStyle w:val="EndnoteReference"/>
          <w:rFonts w:ascii="Figtree" w:eastAsia="Helvetica" w:hAnsi="Figtree" w:cs="Helvetica"/>
          <w:sz w:val="22"/>
          <w:szCs w:val="22"/>
        </w:rPr>
        <w:endnoteReference w:id="11"/>
      </w:r>
    </w:p>
    <w:p w14:paraId="0F9AC163" w14:textId="77777777" w:rsidR="000B2F0D" w:rsidRPr="00B4409D" w:rsidRDefault="000B2F0D" w:rsidP="228E0351">
      <w:pPr>
        <w:spacing w:before="240" w:after="240" w:line="276" w:lineRule="auto"/>
        <w:rPr>
          <w:rFonts w:ascii="Figtree" w:eastAsia="Helvetica" w:hAnsi="Figtree" w:cs="Helvetica"/>
          <w:sz w:val="22"/>
          <w:szCs w:val="22"/>
        </w:rPr>
      </w:pPr>
    </w:p>
    <w:p w14:paraId="361A7E69" w14:textId="77777777" w:rsidR="000B2F0D" w:rsidRDefault="047C2C42" w:rsidP="000B2F0D">
      <w:pPr>
        <w:pStyle w:val="Heading3"/>
        <w:spacing w:before="240" w:after="240" w:line="276" w:lineRule="auto"/>
        <w:rPr>
          <w:rFonts w:ascii="Figtree" w:eastAsia="Helvetica" w:hAnsi="Figtree" w:cs="Helvetica"/>
          <w:b/>
          <w:bCs/>
          <w:color w:val="77206D" w:themeColor="accent5" w:themeShade="BF"/>
          <w:sz w:val="32"/>
          <w:szCs w:val="32"/>
        </w:rPr>
      </w:pPr>
      <w:bookmarkStart w:id="7" w:name="_Toc354864542"/>
      <w:r w:rsidRPr="000B2F0D">
        <w:rPr>
          <w:rFonts w:ascii="Figtree" w:eastAsia="Helvetica" w:hAnsi="Figtree" w:cs="Helvetica"/>
          <w:b/>
          <w:bCs/>
          <w:color w:val="77206D" w:themeColor="accent5" w:themeShade="BF"/>
          <w:sz w:val="32"/>
          <w:szCs w:val="32"/>
        </w:rPr>
        <w:t xml:space="preserve">Towards </w:t>
      </w:r>
      <w:r w:rsidR="7B52AF80" w:rsidRPr="000B2F0D">
        <w:rPr>
          <w:rFonts w:ascii="Figtree" w:eastAsia="Helvetica" w:hAnsi="Figtree" w:cs="Helvetica"/>
          <w:b/>
          <w:bCs/>
          <w:color w:val="77206D" w:themeColor="accent5" w:themeShade="BF"/>
          <w:sz w:val="32"/>
          <w:szCs w:val="32"/>
        </w:rPr>
        <w:t>r</w:t>
      </w:r>
      <w:r w:rsidRPr="000B2F0D">
        <w:rPr>
          <w:rFonts w:ascii="Figtree" w:eastAsia="Helvetica" w:hAnsi="Figtree" w:cs="Helvetica"/>
          <w:b/>
          <w:bCs/>
          <w:color w:val="77206D" w:themeColor="accent5" w:themeShade="BF"/>
          <w:sz w:val="32"/>
          <w:szCs w:val="32"/>
        </w:rPr>
        <w:t xml:space="preserve">eform and </w:t>
      </w:r>
      <w:r w:rsidR="1C57AEE9" w:rsidRPr="000B2F0D">
        <w:rPr>
          <w:rFonts w:ascii="Figtree" w:eastAsia="Helvetica" w:hAnsi="Figtree" w:cs="Helvetica"/>
          <w:b/>
          <w:bCs/>
          <w:color w:val="77206D" w:themeColor="accent5" w:themeShade="BF"/>
          <w:sz w:val="32"/>
          <w:szCs w:val="32"/>
        </w:rPr>
        <w:t>r</w:t>
      </w:r>
      <w:r w:rsidRPr="000B2F0D">
        <w:rPr>
          <w:rFonts w:ascii="Figtree" w:eastAsia="Helvetica" w:hAnsi="Figtree" w:cs="Helvetica"/>
          <w:b/>
          <w:bCs/>
          <w:color w:val="77206D" w:themeColor="accent5" w:themeShade="BF"/>
          <w:sz w:val="32"/>
          <w:szCs w:val="32"/>
        </w:rPr>
        <w:t>ecognition</w:t>
      </w:r>
      <w:bookmarkEnd w:id="7"/>
    </w:p>
    <w:p w14:paraId="37A3A68D" w14:textId="0D66A6D2" w:rsidR="047C2C42" w:rsidRPr="000B2F0D" w:rsidRDefault="047C2C42" w:rsidP="000B2F0D">
      <w:pPr>
        <w:pStyle w:val="Heading3"/>
        <w:spacing w:before="240" w:after="240" w:line="276" w:lineRule="auto"/>
        <w:rPr>
          <w:rFonts w:ascii="Figtree" w:eastAsia="Helvetica" w:hAnsi="Figtree" w:cs="Helvetica"/>
          <w:b/>
          <w:bCs/>
          <w:color w:val="000000" w:themeColor="text1"/>
          <w:sz w:val="32"/>
          <w:szCs w:val="32"/>
        </w:rPr>
      </w:pPr>
      <w:r w:rsidRPr="000B2F0D">
        <w:rPr>
          <w:rFonts w:ascii="Figtree" w:eastAsia="Helvetica" w:hAnsi="Figtree" w:cs="Helvetica"/>
          <w:color w:val="000000" w:themeColor="text1"/>
          <w:sz w:val="22"/>
          <w:szCs w:val="22"/>
        </w:rPr>
        <w:t>There is strong sector support for legislative reform to embed intersectionality as a core principle across all anti-discrimination and human rights frameworks. This includes:</w:t>
      </w:r>
    </w:p>
    <w:p w14:paraId="11D6347D" w14:textId="31BD1951" w:rsidR="047C2C42" w:rsidRPr="00B4409D" w:rsidRDefault="047C2C42" w:rsidP="228E0351">
      <w:pPr>
        <w:pStyle w:val="ListParagraph"/>
        <w:numPr>
          <w:ilvl w:val="0"/>
          <w:numId w:val="5"/>
        </w:numPr>
        <w:spacing w:line="276" w:lineRule="auto"/>
        <w:rPr>
          <w:rFonts w:ascii="Figtree" w:eastAsia="Helvetica" w:hAnsi="Figtree" w:cs="Helvetica"/>
          <w:sz w:val="22"/>
          <w:szCs w:val="22"/>
        </w:rPr>
      </w:pPr>
      <w:r w:rsidRPr="00B4409D">
        <w:rPr>
          <w:rFonts w:ascii="Figtree" w:eastAsia="Helvetica" w:hAnsi="Figtree" w:cs="Helvetica"/>
          <w:sz w:val="22"/>
          <w:szCs w:val="22"/>
        </w:rPr>
        <w:t>Strengthening the DDA to explicitly prohibit multiple and systemic forms of discrimination.</w:t>
      </w:r>
    </w:p>
    <w:p w14:paraId="3BBEB1DE" w14:textId="6F663457" w:rsidR="047C2C42" w:rsidRPr="00B4409D" w:rsidRDefault="047C2C42" w:rsidP="228E0351">
      <w:pPr>
        <w:pStyle w:val="ListParagraph"/>
        <w:numPr>
          <w:ilvl w:val="0"/>
          <w:numId w:val="5"/>
        </w:numPr>
        <w:spacing w:line="276" w:lineRule="auto"/>
        <w:rPr>
          <w:rFonts w:ascii="Figtree" w:eastAsia="Helvetica" w:hAnsi="Figtree" w:cs="Helvetica"/>
          <w:color w:val="000000" w:themeColor="text1"/>
          <w:sz w:val="21"/>
          <w:szCs w:val="21"/>
        </w:rPr>
      </w:pPr>
      <w:r w:rsidRPr="00B4409D">
        <w:rPr>
          <w:rFonts w:ascii="Figtree" w:eastAsia="Helvetica" w:hAnsi="Figtree" w:cs="Helvetica"/>
          <w:sz w:val="22"/>
          <w:szCs w:val="22"/>
        </w:rPr>
        <w:t>Enacting a National Human Rights Act to provide a cohesive framework for implementing Australia’s international obligations.</w:t>
      </w:r>
      <w:r w:rsidR="64E691BC" w:rsidRPr="00B4409D">
        <w:rPr>
          <w:rFonts w:ascii="Figtree" w:eastAsia="Helvetica" w:hAnsi="Figtree" w:cs="Helvetica"/>
          <w:sz w:val="22"/>
          <w:szCs w:val="22"/>
        </w:rPr>
        <w:t xml:space="preserve"> </w:t>
      </w:r>
    </w:p>
    <w:p w14:paraId="4F2C32BF" w14:textId="5744BF16" w:rsidR="047C2C42" w:rsidRPr="00B4409D" w:rsidRDefault="047C2C42" w:rsidP="228E0351">
      <w:pPr>
        <w:pStyle w:val="ListParagraph"/>
        <w:numPr>
          <w:ilvl w:val="0"/>
          <w:numId w:val="5"/>
        </w:numPr>
        <w:spacing w:line="276" w:lineRule="auto"/>
        <w:rPr>
          <w:rFonts w:ascii="Figtree" w:eastAsia="Helvetica" w:hAnsi="Figtree" w:cs="Helvetica"/>
          <w:sz w:val="22"/>
          <w:szCs w:val="22"/>
        </w:rPr>
      </w:pPr>
      <w:r w:rsidRPr="00B4409D">
        <w:rPr>
          <w:rFonts w:ascii="Figtree" w:eastAsia="Helvetica" w:hAnsi="Figtree" w:cs="Helvetica"/>
          <w:sz w:val="22"/>
          <w:szCs w:val="22"/>
        </w:rPr>
        <w:t>Integrating a substantive gender perspective across all national laws and policies, as recommended by the CEDAW Committee.</w:t>
      </w:r>
      <w:r w:rsidRPr="00B4409D">
        <w:rPr>
          <w:rStyle w:val="EndnoteReference"/>
          <w:rFonts w:ascii="Figtree" w:eastAsia="Helvetica" w:hAnsi="Figtree" w:cs="Helvetica"/>
          <w:sz w:val="22"/>
          <w:szCs w:val="22"/>
        </w:rPr>
        <w:endnoteReference w:id="12"/>
      </w:r>
    </w:p>
    <w:p w14:paraId="24253167" w14:textId="620BE620" w:rsidR="047C2C42" w:rsidRPr="00B4409D" w:rsidRDefault="047C2C42" w:rsidP="228E0351">
      <w:pPr>
        <w:spacing w:before="240" w:after="240" w:line="276" w:lineRule="auto"/>
        <w:rPr>
          <w:rFonts w:ascii="Figtree" w:eastAsia="Helvetica" w:hAnsi="Figtree" w:cs="Helvetica"/>
          <w:sz w:val="22"/>
          <w:szCs w:val="22"/>
        </w:rPr>
      </w:pPr>
      <w:r w:rsidRPr="00B4409D">
        <w:rPr>
          <w:rFonts w:ascii="Figtree" w:eastAsia="Helvetica" w:hAnsi="Figtree" w:cs="Helvetica"/>
          <w:sz w:val="22"/>
          <w:szCs w:val="22"/>
        </w:rPr>
        <w:t xml:space="preserve">The Disability Rights Now 2019 Shadow Report and WWDA’s Position Statements call for urgent action to ensure that legal and policy frameworks reflect the full spectrum of </w:t>
      </w:r>
      <w:r w:rsidRPr="00B4409D">
        <w:rPr>
          <w:rFonts w:ascii="Figtree" w:eastAsia="Helvetica" w:hAnsi="Figtree" w:cs="Helvetica"/>
          <w:sz w:val="22"/>
          <w:szCs w:val="22"/>
        </w:rPr>
        <w:lastRenderedPageBreak/>
        <w:t>identities—including gender, age, ethnicity, Indigenous status, sexual orientation, migration status, and socio-economic background.</w:t>
      </w:r>
      <w:r w:rsidRPr="00B4409D">
        <w:rPr>
          <w:rStyle w:val="EndnoteReference"/>
          <w:rFonts w:ascii="Figtree" w:eastAsia="Helvetica" w:hAnsi="Figtree" w:cs="Helvetica"/>
          <w:sz w:val="22"/>
          <w:szCs w:val="22"/>
        </w:rPr>
        <w:endnoteReference w:id="13"/>
      </w:r>
    </w:p>
    <w:p w14:paraId="392D10E7" w14:textId="1822117B" w:rsidR="228E0351" w:rsidRDefault="4058822F" w:rsidP="228E0351">
      <w:pPr>
        <w:spacing w:before="240" w:after="240" w:line="276" w:lineRule="auto"/>
        <w:rPr>
          <w:rFonts w:ascii="Figtree" w:eastAsia="Helvetica" w:hAnsi="Figtree" w:cs="Helvetica"/>
          <w:sz w:val="22"/>
          <w:szCs w:val="22"/>
        </w:rPr>
      </w:pPr>
      <w:r w:rsidRPr="00B4409D">
        <w:rPr>
          <w:rFonts w:ascii="Figtree" w:eastAsia="Helvetica" w:hAnsi="Figtree" w:cs="Helvetica"/>
          <w:sz w:val="22"/>
          <w:szCs w:val="22"/>
        </w:rPr>
        <w:t>While</w:t>
      </w:r>
      <w:r w:rsidR="481AF7C6" w:rsidRPr="00B4409D">
        <w:rPr>
          <w:rFonts w:ascii="Figtree" w:eastAsia="Helvetica" w:hAnsi="Figtree" w:cs="Helvetica"/>
          <w:sz w:val="22"/>
          <w:szCs w:val="22"/>
        </w:rPr>
        <w:t xml:space="preserve"> Australia has made formal commitments to recognising intersectional discrimination, these are not yet meaningfully reflected in domestic law or policy. Comprehensive reform is needed to ensure that women, girls, and gender-diverse people with disabilities are fully protected and included across all legal and policy domains.</w:t>
      </w:r>
    </w:p>
    <w:p w14:paraId="677CC4F5" w14:textId="77777777" w:rsidR="000B2F0D" w:rsidRPr="00B4409D" w:rsidRDefault="000B2F0D" w:rsidP="228E0351">
      <w:pPr>
        <w:spacing w:before="240" w:after="240" w:line="276" w:lineRule="auto"/>
        <w:rPr>
          <w:rFonts w:ascii="Figtree" w:eastAsia="Helvetica" w:hAnsi="Figtree" w:cs="Helvetica"/>
          <w:sz w:val="22"/>
          <w:szCs w:val="22"/>
        </w:rPr>
      </w:pPr>
    </w:p>
    <w:p w14:paraId="590E8DE6" w14:textId="58135F37" w:rsidR="228E0351" w:rsidRDefault="293559CA" w:rsidP="00CA5102">
      <w:pPr>
        <w:pStyle w:val="Heading2"/>
        <w:numPr>
          <w:ilvl w:val="0"/>
          <w:numId w:val="3"/>
        </w:numPr>
        <w:rPr>
          <w:rFonts w:ascii="Figtree" w:hAnsi="Figtree"/>
        </w:rPr>
      </w:pPr>
      <w:bookmarkStart w:id="8" w:name="_Toc1992865413"/>
      <w:r w:rsidRPr="00B4409D">
        <w:rPr>
          <w:rFonts w:ascii="Figtree" w:hAnsi="Figtree"/>
        </w:rPr>
        <w:t>Do authorities in your country collect data reflecting intersectionality between disability and other factors such as sex, gender, ethnicity, migration status, origin, socio-economic status, religious beliefs, etc.</w:t>
      </w:r>
      <w:bookmarkEnd w:id="8"/>
      <w:r w:rsidRPr="00B4409D">
        <w:rPr>
          <w:rFonts w:ascii="Figtree" w:hAnsi="Figtree"/>
        </w:rPr>
        <w:t> </w:t>
      </w:r>
    </w:p>
    <w:p w14:paraId="56D64744" w14:textId="77777777" w:rsidR="000B2F0D" w:rsidRPr="000B2F0D" w:rsidRDefault="000B2F0D" w:rsidP="000B2F0D"/>
    <w:p w14:paraId="72D93163" w14:textId="77777777" w:rsidR="000B2F0D" w:rsidRPr="000B2F0D" w:rsidRDefault="000B2F0D" w:rsidP="000B2F0D">
      <w:pPr>
        <w:rPr>
          <w:rFonts w:eastAsia="Helvetica"/>
        </w:rPr>
      </w:pPr>
    </w:p>
    <w:p w14:paraId="3F8DFD09" w14:textId="3DB13049" w:rsidR="00CA5102" w:rsidRPr="00B4409D" w:rsidRDefault="4A808901" w:rsidP="1FF1FC75">
      <w:pPr>
        <w:spacing w:line="276" w:lineRule="auto"/>
        <w:rPr>
          <w:rFonts w:ascii="Figtree" w:hAnsi="Figtree"/>
          <w:sz w:val="22"/>
          <w:szCs w:val="22"/>
          <w:lang w:val="en-US"/>
        </w:rPr>
      </w:pPr>
      <w:r w:rsidRPr="00B4409D">
        <w:rPr>
          <w:rFonts w:ascii="Figtree" w:hAnsi="Figtree"/>
          <w:sz w:val="22"/>
          <w:szCs w:val="22"/>
          <w:lang w:val="en-US"/>
        </w:rPr>
        <w:t xml:space="preserve">Australia’s data collection systems fail to reflect the intersection of disability with other identity </w:t>
      </w:r>
      <w:r w:rsidR="461596B5" w:rsidRPr="00B4409D">
        <w:rPr>
          <w:rFonts w:ascii="Figtree" w:hAnsi="Figtree"/>
          <w:sz w:val="22"/>
          <w:szCs w:val="22"/>
          <w:lang w:val="en-US"/>
        </w:rPr>
        <w:t>factors, —</w:t>
      </w:r>
      <w:r w:rsidRPr="00B4409D">
        <w:rPr>
          <w:rFonts w:ascii="Figtree" w:hAnsi="Figtree"/>
          <w:sz w:val="22"/>
          <w:szCs w:val="22"/>
          <w:lang w:val="en-US"/>
        </w:rPr>
        <w:t>undermining obligations under Article 31 of the CRPD.</w:t>
      </w:r>
      <w:r w:rsidR="00CA5102" w:rsidRPr="00B4409D">
        <w:rPr>
          <w:rStyle w:val="EndnoteReference"/>
          <w:rFonts w:ascii="Figtree" w:hAnsi="Figtree"/>
          <w:sz w:val="22"/>
          <w:szCs w:val="22"/>
          <w:lang w:val="en-US"/>
        </w:rPr>
        <w:endnoteReference w:id="14"/>
      </w:r>
      <w:r w:rsidRPr="00B4409D">
        <w:rPr>
          <w:rStyle w:val="EndnoteReference"/>
          <w:rFonts w:ascii="Figtree" w:eastAsia="Helvetica" w:hAnsi="Figtree" w:cs="Helvetica"/>
          <w:color w:val="000000" w:themeColor="text1"/>
          <w:sz w:val="22"/>
          <w:szCs w:val="22"/>
          <w:lang w:val="en-US"/>
        </w:rPr>
        <w:t xml:space="preserve"> </w:t>
      </w:r>
      <w:r w:rsidRPr="00B4409D">
        <w:rPr>
          <w:rFonts w:ascii="Figtree" w:hAnsi="Figtree"/>
          <w:sz w:val="22"/>
          <w:szCs w:val="22"/>
          <w:lang w:val="en-US"/>
        </w:rPr>
        <w:t xml:space="preserve">Despite sustained advocacy </w:t>
      </w:r>
      <w:r w:rsidR="4DBDA3D1" w:rsidRPr="00B4409D">
        <w:rPr>
          <w:rFonts w:ascii="Figtree" w:hAnsi="Figtree"/>
          <w:sz w:val="22"/>
          <w:szCs w:val="22"/>
          <w:lang w:val="en-US"/>
        </w:rPr>
        <w:t>from UN</w:t>
      </w:r>
      <w:r w:rsidRPr="00B4409D">
        <w:rPr>
          <w:rFonts w:ascii="Figtree" w:hAnsi="Figtree"/>
          <w:sz w:val="22"/>
          <w:szCs w:val="22"/>
          <w:lang w:val="en-US"/>
        </w:rPr>
        <w:t xml:space="preserve"> bodies and civil society, intersectional and disaggregated data remains limited. National datasets rarely capture the experiences of women and girls with disabilities, particularly those who are Indigenous, CALD, migrant, refugee, or LGBTQIA+.</w:t>
      </w:r>
      <w:r w:rsidR="00CA5102" w:rsidRPr="00B4409D">
        <w:rPr>
          <w:rStyle w:val="EndnoteReference"/>
          <w:rFonts w:ascii="Figtree" w:hAnsi="Figtree"/>
          <w:sz w:val="22"/>
          <w:szCs w:val="22"/>
          <w:lang w:val="en-US"/>
        </w:rPr>
        <w:endnoteReference w:id="15"/>
      </w:r>
      <w:r w:rsidRPr="00B4409D">
        <w:rPr>
          <w:rFonts w:ascii="Figtree" w:hAnsi="Figtree"/>
          <w:sz w:val="22"/>
          <w:szCs w:val="22"/>
          <w:lang w:val="en-US"/>
        </w:rPr>
        <w:t xml:space="preserve"> </w:t>
      </w:r>
    </w:p>
    <w:p w14:paraId="0C4FD76E" w14:textId="77777777" w:rsidR="00CA5102" w:rsidRPr="00B4409D" w:rsidRDefault="00CA5102" w:rsidP="00CA5102">
      <w:pPr>
        <w:spacing w:line="276" w:lineRule="auto"/>
        <w:rPr>
          <w:rFonts w:ascii="Figtree" w:hAnsi="Figtree"/>
          <w:sz w:val="22"/>
          <w:szCs w:val="22"/>
        </w:rPr>
      </w:pPr>
    </w:p>
    <w:p w14:paraId="45312194" w14:textId="60237DBB" w:rsidR="00CA5102" w:rsidRPr="00B4409D" w:rsidRDefault="4A808901" w:rsidP="481AF7C6">
      <w:pPr>
        <w:spacing w:line="276" w:lineRule="auto"/>
        <w:rPr>
          <w:rFonts w:ascii="Figtree" w:hAnsi="Figtree"/>
          <w:sz w:val="22"/>
          <w:szCs w:val="22"/>
          <w:lang w:val="en-US"/>
        </w:rPr>
      </w:pPr>
      <w:r w:rsidRPr="00B4409D">
        <w:rPr>
          <w:rFonts w:ascii="Figtree" w:hAnsi="Figtree"/>
          <w:sz w:val="22"/>
          <w:szCs w:val="22"/>
          <w:lang w:val="en-US"/>
        </w:rPr>
        <w:t>The 2019 CRPD Shadow Report further notes that Australia has not funded a comprehensive assessment of the situation of women, children, youth, or Indigenous people with disability. Without nationally consistent, disaggregated data, monitoring the Disability Strategy or the Sustainable Development Goals (SDGs) is impossible. Trans, gender-diverse and intersex people with disability are also excluded from national datasets, despite evidence of compounded discrimination in health, housing, education, and violence. The UN Independent Expert on Sexual Orientation and Gender Identity has called for inclusive, participatory data collection that recognises diverse identities—an urgent priority if Australia is to meet its international obligations and design equitable policy.</w:t>
      </w:r>
      <w:r w:rsidR="00CA5102" w:rsidRPr="00B4409D">
        <w:rPr>
          <w:rStyle w:val="EndnoteReference"/>
          <w:rFonts w:ascii="Figtree" w:hAnsi="Figtree"/>
          <w:sz w:val="22"/>
          <w:szCs w:val="22"/>
          <w:lang w:val="en-US"/>
        </w:rPr>
        <w:endnoteReference w:id="16"/>
      </w:r>
    </w:p>
    <w:p w14:paraId="5489850F" w14:textId="77777777" w:rsidR="0025641B" w:rsidRPr="00B4409D" w:rsidRDefault="23E369D0" w:rsidP="228E0351">
      <w:p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WWDA and PWDA consistently advocate for the establishment of a nationally consistent framework for intersectional data collection, including:</w:t>
      </w:r>
    </w:p>
    <w:p w14:paraId="3AC275FA" w14:textId="1612AF3F" w:rsidR="0025641B" w:rsidRPr="00B4409D" w:rsidRDefault="481AF7C6" w:rsidP="481AF7C6">
      <w:pPr>
        <w:numPr>
          <w:ilvl w:val="0"/>
          <w:numId w:val="9"/>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Inclusive design of data collection tools, allowing individuals to self-identify across multiple axes of identity.</w:t>
      </w:r>
    </w:p>
    <w:p w14:paraId="5134D661" w14:textId="77777777" w:rsidR="0025641B" w:rsidRPr="00B4409D" w:rsidRDefault="23E369D0" w:rsidP="228E0351">
      <w:pPr>
        <w:numPr>
          <w:ilvl w:val="0"/>
          <w:numId w:val="9"/>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Mandatory disaggregation of data by sex, gender identity, sexual orientation, disability status, ethnicity, cultural background, migration status, and other relevant factors.</w:t>
      </w:r>
    </w:p>
    <w:p w14:paraId="731129EB" w14:textId="77777777" w:rsidR="0025641B" w:rsidRPr="00B4409D" w:rsidRDefault="23E369D0" w:rsidP="228E0351">
      <w:pPr>
        <w:numPr>
          <w:ilvl w:val="0"/>
          <w:numId w:val="9"/>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Public reporting of intersectional data to inform policy, monitor rights implementation, and support accountability.</w:t>
      </w:r>
    </w:p>
    <w:p w14:paraId="0D134343" w14:textId="7CDA3BC1" w:rsidR="228E0351" w:rsidRPr="00B4409D" w:rsidRDefault="481AF7C6" w:rsidP="481AF7C6">
      <w:pPr>
        <w:numPr>
          <w:ilvl w:val="0"/>
          <w:numId w:val="9"/>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Dedicated funding for intersectional research and assessments</w:t>
      </w:r>
      <w:r w:rsidR="4058822F" w:rsidRPr="00B4409D">
        <w:rPr>
          <w:rFonts w:ascii="Figtree" w:eastAsia="Helvetica" w:hAnsi="Figtree" w:cs="Helvetica"/>
          <w:color w:val="000000" w:themeColor="text1"/>
          <w:sz w:val="22"/>
          <w:szCs w:val="22"/>
        </w:rPr>
        <w:t>.</w:t>
      </w:r>
    </w:p>
    <w:p w14:paraId="69765F54" w14:textId="23F63A10" w:rsidR="0025641B" w:rsidRPr="00B4409D" w:rsidRDefault="6811445D" w:rsidP="481AF7C6">
      <w:p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lastRenderedPageBreak/>
        <w:t>In alignment with CRPD General Comment No. 6 (para. 60), this submission urges the Committee to reinforce the obligation for inclusive and participatory data collection that reflects the full diversity of people with disabilities</w:t>
      </w:r>
      <w:r w:rsidR="00D73CF4" w:rsidRPr="00B4409D">
        <w:rPr>
          <w:rStyle w:val="EndnoteReference"/>
          <w:rFonts w:ascii="Figtree" w:eastAsia="Helvetica" w:hAnsi="Figtree" w:cs="Helvetica"/>
          <w:color w:val="000000" w:themeColor="text1"/>
          <w:sz w:val="22"/>
          <w:szCs w:val="22"/>
        </w:rPr>
        <w:endnoteReference w:id="17"/>
      </w:r>
      <w:r w:rsidRPr="00B4409D">
        <w:rPr>
          <w:rFonts w:ascii="Figtree" w:eastAsia="Helvetica" w:hAnsi="Figtree" w:cs="Helvetica"/>
          <w:color w:val="000000" w:themeColor="text1"/>
          <w:sz w:val="22"/>
          <w:szCs w:val="22"/>
        </w:rPr>
        <w:t>. Only through robust, intersectional data can States Parties formulate and implement policies that give full effect to the Convention and ensure that no one is left behind.</w:t>
      </w:r>
      <w:r w:rsidR="0025641B" w:rsidRPr="00B4409D">
        <w:rPr>
          <w:rFonts w:ascii="Figtree" w:hAnsi="Figtree" w:cs="Segoe UI Semibold"/>
          <w:b/>
          <w:bCs/>
          <w:color w:val="000000" w:themeColor="text1"/>
          <w:sz w:val="18"/>
          <w:szCs w:val="18"/>
        </w:rPr>
        <w:br/>
      </w:r>
    </w:p>
    <w:p w14:paraId="50A39258" w14:textId="710CDF44" w:rsidR="0025641B" w:rsidRDefault="000B2F0D" w:rsidP="000B2F0D">
      <w:pPr>
        <w:pStyle w:val="Heading2"/>
        <w:numPr>
          <w:ilvl w:val="0"/>
          <w:numId w:val="3"/>
        </w:numPr>
        <w:rPr>
          <w:rFonts w:ascii="Figtree" w:eastAsia="Helvetica" w:hAnsi="Figtree" w:cs="Helvetica"/>
        </w:rPr>
      </w:pPr>
      <w:bookmarkStart w:id="9" w:name="_Toc335441667"/>
      <w:r>
        <w:rPr>
          <w:rFonts w:ascii="Figtree" w:eastAsia="Helvetica" w:hAnsi="Figtree" w:cs="Helvetica"/>
        </w:rPr>
        <w:t>What</w:t>
      </w:r>
      <w:r w:rsidRPr="00B4409D">
        <w:rPr>
          <w:rFonts w:ascii="Figtree" w:eastAsia="Helvetica" w:hAnsi="Figtree" w:cs="Helvetica"/>
        </w:rPr>
        <w:t xml:space="preserve"> </w:t>
      </w:r>
      <w:r w:rsidR="293559CA" w:rsidRPr="00B4409D">
        <w:rPr>
          <w:rFonts w:ascii="Figtree" w:eastAsia="Helvetica" w:hAnsi="Figtree" w:cs="Helvetica"/>
        </w:rPr>
        <w:t>are the main Intersectional risks and forms of discrimination faced by women and girls with disabilities? Do you consider that the violence and discrimination against women and girls with disabilities is due to two or more of personal characteristics, or that is coloured by these characteristics? For example: being a woman with a disability and indigenous; being a woman with a disability and living with albinism; being a woman with a disability and also an elderly; being a woman with disability and also a child or teenager; being a woman with a disability and a migrant or an asylum seeker, or a person seeking international protection or a refugee; a member of the LGBTIQ+ community; or being someone with diverse sexual orientation or gender identity. Please specify.</w:t>
      </w:r>
      <w:bookmarkEnd w:id="9"/>
      <w:r w:rsidR="293559CA" w:rsidRPr="00B4409D">
        <w:rPr>
          <w:rFonts w:ascii="Figtree" w:eastAsia="Helvetica" w:hAnsi="Figtree" w:cs="Helvetica"/>
        </w:rPr>
        <w:t> </w:t>
      </w:r>
    </w:p>
    <w:p w14:paraId="00958870" w14:textId="77777777" w:rsidR="000B2F0D" w:rsidRPr="000B2F0D" w:rsidRDefault="000B2F0D" w:rsidP="000B2F0D">
      <w:pPr>
        <w:rPr>
          <w:rFonts w:eastAsia="Helvetica"/>
        </w:rPr>
      </w:pPr>
    </w:p>
    <w:p w14:paraId="3CB78B37" w14:textId="41CD4836" w:rsidR="318643F8" w:rsidRDefault="481AF7C6" w:rsidP="481AF7C6">
      <w:p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Women and girls with disabilities in Australia face compounded and intersectional forms of violence and discrimination</w:t>
      </w:r>
      <w:r w:rsidR="4058822F" w:rsidRPr="00B4409D">
        <w:rPr>
          <w:rFonts w:ascii="Figtree" w:eastAsia="Helvetica" w:hAnsi="Figtree" w:cs="Helvetica"/>
          <w:color w:val="000000" w:themeColor="text1"/>
          <w:sz w:val="22"/>
          <w:szCs w:val="22"/>
        </w:rPr>
        <w:t>.</w:t>
      </w:r>
      <w:r w:rsidRPr="00B4409D">
        <w:rPr>
          <w:rFonts w:ascii="Figtree" w:eastAsia="Helvetica" w:hAnsi="Figtree" w:cs="Helvetica"/>
          <w:color w:val="000000" w:themeColor="text1"/>
          <w:sz w:val="22"/>
          <w:szCs w:val="22"/>
        </w:rPr>
        <w:t xml:space="preserve"> These harms are not merely additive but multiply and intensify, creating distinct and often more severe experiences of exclusion, abuse, and rights violations.</w:t>
      </w:r>
      <w:r w:rsidR="07589D33" w:rsidRPr="00B4409D">
        <w:rPr>
          <w:rStyle w:val="EndnoteReference"/>
          <w:rFonts w:ascii="Figtree" w:eastAsia="Helvetica" w:hAnsi="Figtree" w:cs="Helvetica"/>
          <w:color w:val="000000" w:themeColor="text1"/>
          <w:sz w:val="22"/>
          <w:szCs w:val="22"/>
        </w:rPr>
        <w:endnoteReference w:id="18"/>
      </w:r>
      <w:r w:rsidRPr="00B4409D">
        <w:rPr>
          <w:rFonts w:ascii="Figtree" w:eastAsia="Helvetica" w:hAnsi="Figtree" w:cs="Helvetica"/>
          <w:color w:val="000000" w:themeColor="text1"/>
          <w:sz w:val="22"/>
          <w:szCs w:val="22"/>
        </w:rPr>
        <w:t xml:space="preserve"> The violence and discrimination experienced by women and girls with disabilities  </w:t>
      </w:r>
      <w:r w:rsidR="00495533">
        <w:rPr>
          <w:rFonts w:ascii="Figtree" w:eastAsia="Helvetica" w:hAnsi="Figtree" w:cs="Helvetica"/>
          <w:color w:val="000000" w:themeColor="text1"/>
          <w:sz w:val="22"/>
          <w:szCs w:val="22"/>
        </w:rPr>
        <w:t xml:space="preserve">cannot </w:t>
      </w:r>
      <w:r w:rsidRPr="00B4409D">
        <w:rPr>
          <w:rFonts w:ascii="Figtree" w:eastAsia="Helvetica" w:hAnsi="Figtree" w:cs="Helvetica"/>
          <w:color w:val="000000" w:themeColor="text1"/>
          <w:sz w:val="22"/>
          <w:szCs w:val="22"/>
        </w:rPr>
        <w:t>be attributed to a single cause—such as gender or disability—but rather emerges from the interplay of multiple systems of oppression, including ableism, sexism, racism, ageism, homophobia, transphobia, and xenophobia.</w:t>
      </w:r>
    </w:p>
    <w:p w14:paraId="14D93963" w14:textId="77777777" w:rsidR="000B2F0D" w:rsidRPr="00B4409D" w:rsidRDefault="000B2F0D" w:rsidP="481AF7C6">
      <w:pPr>
        <w:spacing w:before="100" w:beforeAutospacing="1" w:after="100" w:afterAutospacing="1" w:line="300" w:lineRule="atLeast"/>
        <w:rPr>
          <w:rFonts w:ascii="Figtree" w:eastAsia="Helvetica" w:hAnsi="Figtree" w:cs="Helvetica"/>
          <w:color w:val="000000" w:themeColor="text1"/>
          <w:sz w:val="22"/>
          <w:szCs w:val="22"/>
        </w:rPr>
      </w:pPr>
    </w:p>
    <w:p w14:paraId="276ED4CC" w14:textId="4E72E7FD" w:rsidR="000B2F0D" w:rsidRDefault="000B2F0D" w:rsidP="000B2F0D">
      <w:pPr>
        <w:pStyle w:val="Heading3"/>
        <w:spacing w:before="240" w:after="240" w:line="276" w:lineRule="auto"/>
        <w:rPr>
          <w:rFonts w:ascii="Figtree" w:eastAsia="Helvetica" w:hAnsi="Figtree" w:cs="Helvetica"/>
          <w:b/>
          <w:bCs/>
          <w:color w:val="77206D" w:themeColor="accent5" w:themeShade="BF"/>
          <w:sz w:val="32"/>
          <w:szCs w:val="32"/>
        </w:rPr>
      </w:pPr>
      <w:bookmarkStart w:id="10" w:name="_Toc1957599893"/>
      <w:r>
        <w:rPr>
          <w:rFonts w:ascii="Figtree" w:eastAsia="Helvetica" w:hAnsi="Figtree" w:cs="Helvetica"/>
          <w:b/>
          <w:bCs/>
          <w:color w:val="77206D" w:themeColor="accent5" w:themeShade="BF"/>
          <w:sz w:val="32"/>
          <w:szCs w:val="32"/>
        </w:rPr>
        <w:t>Key groups facing heightened risk</w:t>
      </w:r>
    </w:p>
    <w:p w14:paraId="159FE2E9" w14:textId="0A565CB9" w:rsidR="00C22D14" w:rsidRPr="00B4409D" w:rsidRDefault="740AC15F" w:rsidP="228E0351">
      <w:pPr>
        <w:spacing w:before="100" w:beforeAutospacing="1" w:after="100" w:afterAutospacing="1" w:line="300" w:lineRule="atLeast"/>
        <w:rPr>
          <w:rFonts w:ascii="Figtree" w:eastAsia="Helvetica" w:hAnsi="Figtree" w:cs="Helvetica"/>
          <w:color w:val="000000" w:themeColor="text1"/>
          <w:sz w:val="22"/>
          <w:szCs w:val="22"/>
        </w:rPr>
      </w:pPr>
      <w:bookmarkStart w:id="11" w:name="_Toc835170837"/>
      <w:bookmarkEnd w:id="10"/>
      <w:r w:rsidRPr="000B2F0D">
        <w:rPr>
          <w:rStyle w:val="Heading4Char"/>
          <w:rFonts w:ascii="Figtree" w:eastAsia="Helvetica" w:hAnsi="Figtree" w:cs="Helvetica"/>
          <w:b/>
          <w:bCs/>
          <w:i w:val="0"/>
          <w:iCs w:val="0"/>
        </w:rPr>
        <w:t>Indigenous women with disability</w:t>
      </w:r>
      <w:bookmarkEnd w:id="11"/>
      <w:r w:rsidR="00C22D14" w:rsidRPr="00B4409D">
        <w:rPr>
          <w:rFonts w:ascii="Figtree" w:hAnsi="Figtree" w:cs="Segoe UI"/>
          <w:color w:val="000000" w:themeColor="text1"/>
          <w:sz w:val="21"/>
          <w:szCs w:val="21"/>
        </w:rPr>
        <w:br/>
      </w:r>
      <w:r w:rsidRPr="00B4409D">
        <w:rPr>
          <w:rFonts w:ascii="Figtree" w:eastAsia="Helvetica" w:hAnsi="Figtree" w:cs="Helvetica"/>
          <w:color w:val="000000" w:themeColor="text1"/>
          <w:sz w:val="22"/>
          <w:szCs w:val="22"/>
        </w:rPr>
        <w:t xml:space="preserve">Indigenous women with disability are disproportionately affected by indefinite detention, </w:t>
      </w:r>
      <w:r w:rsidRPr="00B4409D">
        <w:rPr>
          <w:rFonts w:ascii="Figtree" w:eastAsia="Helvetica" w:hAnsi="Figtree" w:cs="Helvetica"/>
          <w:color w:val="000000" w:themeColor="text1"/>
          <w:sz w:val="22"/>
          <w:szCs w:val="22"/>
        </w:rPr>
        <w:lastRenderedPageBreak/>
        <w:t>poverty, and systemic neglect. These outcomes reflect the intersection of colonisation, racism, ableism, and gender-based violence</w:t>
      </w:r>
      <w:r w:rsidR="430B326C" w:rsidRPr="00B4409D">
        <w:rPr>
          <w:rFonts w:ascii="Figtree" w:eastAsia="Helvetica" w:hAnsi="Figtree" w:cs="Helvetica"/>
          <w:color w:val="000000" w:themeColor="text1"/>
          <w:sz w:val="22"/>
          <w:szCs w:val="22"/>
        </w:rPr>
        <w:t>.</w:t>
      </w:r>
      <w:r w:rsidR="00C22D14" w:rsidRPr="00B4409D">
        <w:rPr>
          <w:rStyle w:val="EndnoteReference"/>
          <w:rFonts w:ascii="Figtree" w:eastAsia="Helvetica" w:hAnsi="Figtree" w:cs="Helvetica"/>
          <w:color w:val="000000" w:themeColor="text1"/>
          <w:sz w:val="22"/>
          <w:szCs w:val="22"/>
        </w:rPr>
        <w:endnoteReference w:id="19"/>
      </w:r>
    </w:p>
    <w:p w14:paraId="2E31816D" w14:textId="23164DAE" w:rsidR="228E0351" w:rsidRPr="00B4409D" w:rsidRDefault="740AC15F" w:rsidP="1FF1FC75">
      <w:pPr>
        <w:spacing w:before="100" w:beforeAutospacing="1" w:after="100" w:afterAutospacing="1" w:line="300" w:lineRule="atLeast"/>
        <w:rPr>
          <w:rFonts w:ascii="Figtree" w:eastAsia="Helvetica" w:hAnsi="Figtree" w:cs="Helvetica"/>
          <w:color w:val="000000" w:themeColor="text1"/>
          <w:sz w:val="21"/>
          <w:szCs w:val="21"/>
        </w:rPr>
      </w:pPr>
      <w:bookmarkStart w:id="12" w:name="_Toc4584902"/>
      <w:r w:rsidRPr="000B2F0D">
        <w:rPr>
          <w:rStyle w:val="Heading4Char"/>
          <w:rFonts w:ascii="Figtree" w:eastAsia="Helvetica" w:hAnsi="Figtree" w:cs="Helvetica"/>
          <w:b/>
          <w:bCs/>
          <w:i w:val="0"/>
          <w:iCs w:val="0"/>
        </w:rPr>
        <w:t>Women with disability who are LGBTIQ+</w:t>
      </w:r>
      <w:bookmarkEnd w:id="12"/>
      <w:r w:rsidR="00C22D14" w:rsidRPr="00B4409D">
        <w:rPr>
          <w:rFonts w:ascii="Figtree" w:hAnsi="Figtree" w:cs="Segoe UI"/>
          <w:color w:val="000000" w:themeColor="text1"/>
          <w:sz w:val="21"/>
          <w:szCs w:val="21"/>
        </w:rPr>
        <w:br/>
      </w:r>
      <w:r w:rsidRPr="00B4409D">
        <w:rPr>
          <w:rFonts w:ascii="Figtree" w:eastAsia="Helvetica" w:hAnsi="Figtree" w:cs="Helvetica"/>
          <w:color w:val="000000" w:themeColor="text1"/>
          <w:sz w:val="22"/>
          <w:szCs w:val="22"/>
        </w:rPr>
        <w:t xml:space="preserve">These women face heightened risks of violence, misgendering, denial of gender-affirming care, and exclusion from services. Trans and gender-diverse people with disability </w:t>
      </w:r>
      <w:r w:rsidR="70E82591" w:rsidRPr="00B4409D" w:rsidDel="4058822F">
        <w:rPr>
          <w:rFonts w:ascii="Figtree" w:eastAsia="Helvetica" w:hAnsi="Figtree" w:cs="Helvetica"/>
          <w:color w:val="000000" w:themeColor="text1"/>
          <w:sz w:val="22"/>
          <w:szCs w:val="22"/>
        </w:rPr>
        <w:t>experience</w:t>
      </w:r>
      <w:r w:rsidRPr="00B4409D">
        <w:rPr>
          <w:rFonts w:ascii="Figtree" w:eastAsia="Helvetica" w:hAnsi="Figtree" w:cs="Helvetica"/>
          <w:color w:val="000000" w:themeColor="text1"/>
          <w:sz w:val="22"/>
          <w:szCs w:val="22"/>
        </w:rPr>
        <w:t xml:space="preserve"> disproportionate harm in institutional settings such as group homes and prisons</w:t>
      </w:r>
      <w:r w:rsidR="20F99935" w:rsidRPr="00B4409D">
        <w:rPr>
          <w:rFonts w:ascii="Figtree" w:eastAsia="Helvetica" w:hAnsi="Figtree" w:cs="Helvetica"/>
          <w:color w:val="000000" w:themeColor="text1"/>
          <w:sz w:val="22"/>
          <w:szCs w:val="22"/>
        </w:rPr>
        <w:t>.</w:t>
      </w:r>
      <w:r w:rsidR="00AB4103" w:rsidRPr="00B4409D">
        <w:rPr>
          <w:rStyle w:val="EndnoteReference"/>
          <w:rFonts w:ascii="Figtree" w:eastAsia="Helvetica" w:hAnsi="Figtree" w:cs="Helvetica"/>
          <w:color w:val="000000" w:themeColor="text1"/>
          <w:sz w:val="21"/>
          <w:szCs w:val="21"/>
        </w:rPr>
        <w:endnoteReference w:id="20"/>
      </w:r>
    </w:p>
    <w:p w14:paraId="3886E27C" w14:textId="652CD0AE" w:rsidR="228E0351" w:rsidRPr="00B4409D" w:rsidRDefault="293559CA" w:rsidP="1FF1FC75">
      <w:pPr>
        <w:spacing w:before="100" w:beforeAutospacing="1" w:after="100" w:afterAutospacing="1" w:line="300" w:lineRule="atLeast"/>
        <w:rPr>
          <w:rFonts w:ascii="Figtree" w:eastAsia="Helvetica" w:hAnsi="Figtree" w:cs="Helvetica"/>
          <w:sz w:val="22"/>
          <w:szCs w:val="22"/>
        </w:rPr>
      </w:pPr>
      <w:bookmarkStart w:id="13" w:name="_Toc1983333605"/>
      <w:r w:rsidRPr="000B2F0D">
        <w:rPr>
          <w:rStyle w:val="Heading4Char"/>
          <w:rFonts w:ascii="Figtree" w:eastAsia="Helvetica" w:hAnsi="Figtree" w:cs="Helvetica"/>
          <w:b/>
          <w:bCs/>
          <w:i w:val="0"/>
          <w:iCs w:val="0"/>
        </w:rPr>
        <w:t>Women with disability who are migrants, asylum seekers, or refugees</w:t>
      </w:r>
      <w:bookmarkEnd w:id="13"/>
      <w:r w:rsidR="07589D33" w:rsidRPr="00B4409D">
        <w:rPr>
          <w:rFonts w:ascii="Figtree" w:hAnsi="Figtree"/>
        </w:rPr>
        <w:br/>
      </w:r>
      <w:r w:rsidRPr="00B4409D">
        <w:rPr>
          <w:rFonts w:ascii="Figtree" w:eastAsia="Helvetica" w:hAnsi="Figtree" w:cs="Helvetica"/>
          <w:color w:val="000000" w:themeColor="text1"/>
          <w:sz w:val="22"/>
          <w:szCs w:val="22"/>
        </w:rPr>
        <w:t>Discriminatory migration policies, such as the Significant Cost Threshold, exclude people with disability from protection and support. These women often face compounded barriers to accessing healthcare, housing, and justice</w:t>
      </w:r>
      <w:r w:rsidR="07589D33" w:rsidRPr="00B4409D">
        <w:rPr>
          <w:rStyle w:val="EndnoteReference"/>
          <w:rFonts w:ascii="Figtree" w:eastAsia="Helvetica" w:hAnsi="Figtree" w:cs="Helvetica"/>
          <w:color w:val="000000" w:themeColor="text1"/>
          <w:sz w:val="22"/>
          <w:szCs w:val="22"/>
        </w:rPr>
        <w:endnoteReference w:id="21"/>
      </w:r>
      <w:r w:rsidRPr="00B4409D">
        <w:rPr>
          <w:rFonts w:ascii="Figtree" w:eastAsia="Helvetica" w:hAnsi="Figtree" w:cs="Helvetica"/>
          <w:color w:val="000000" w:themeColor="text1"/>
          <w:sz w:val="22"/>
          <w:szCs w:val="22"/>
        </w:rPr>
        <w:t xml:space="preserve"> </w:t>
      </w:r>
    </w:p>
    <w:p w14:paraId="0CFA300E" w14:textId="47D0DD78" w:rsidR="228E0351" w:rsidRPr="00B4409D" w:rsidRDefault="481AF7C6" w:rsidP="481AF7C6">
      <w:pPr>
        <w:spacing w:before="100" w:beforeAutospacing="1" w:after="100" w:afterAutospacing="1" w:line="300" w:lineRule="atLeast"/>
        <w:rPr>
          <w:rFonts w:ascii="Figtree" w:eastAsia="Helvetica" w:hAnsi="Figtree" w:cs="Helvetica"/>
          <w:sz w:val="22"/>
          <w:szCs w:val="22"/>
        </w:rPr>
      </w:pPr>
      <w:bookmarkStart w:id="14" w:name="_Toc1801284204"/>
      <w:r w:rsidRPr="000B2F0D">
        <w:rPr>
          <w:rStyle w:val="Heading4Char"/>
          <w:rFonts w:ascii="Figtree" w:eastAsia="Helvetica" w:hAnsi="Figtree" w:cs="Helvetica"/>
          <w:b/>
          <w:bCs/>
          <w:i w:val="0"/>
          <w:iCs w:val="0"/>
        </w:rPr>
        <w:t>Women with disability who are older or children/teenagers</w:t>
      </w:r>
      <w:bookmarkEnd w:id="14"/>
      <w:r w:rsidR="6E52703F" w:rsidRPr="00B4409D">
        <w:rPr>
          <w:rFonts w:ascii="Figtree" w:hAnsi="Figtree"/>
        </w:rPr>
        <w:br/>
      </w:r>
      <w:r w:rsidRPr="00B4409D">
        <w:rPr>
          <w:rFonts w:ascii="Figtree" w:eastAsia="Helvetica" w:hAnsi="Figtree" w:cs="Helvetica"/>
          <w:color w:val="000000" w:themeColor="text1"/>
          <w:sz w:val="22"/>
          <w:szCs w:val="22"/>
        </w:rPr>
        <w:t>Older women with disability face housing insecurity and neglect, while children and young people with disability experience high rates of bullying, exclusion, and abuse in education and care settings.</w:t>
      </w:r>
    </w:p>
    <w:p w14:paraId="5010627F" w14:textId="155129D5" w:rsidR="228E0351" w:rsidRDefault="740AC15F" w:rsidP="00D2461F">
      <w:pPr>
        <w:spacing w:before="100" w:beforeAutospacing="1" w:after="100" w:afterAutospacing="1" w:line="300" w:lineRule="atLeast"/>
        <w:rPr>
          <w:rFonts w:ascii="Figtree" w:eastAsia="Helvetica" w:hAnsi="Figtree" w:cs="Helvetica"/>
          <w:sz w:val="22"/>
          <w:szCs w:val="22"/>
        </w:rPr>
      </w:pPr>
      <w:bookmarkStart w:id="15" w:name="_Toc1287111003"/>
      <w:r w:rsidRPr="000B2F0D">
        <w:rPr>
          <w:rStyle w:val="Heading4Char"/>
          <w:rFonts w:ascii="Figtree" w:eastAsia="Helvetica" w:hAnsi="Figtree" w:cs="Helvetica"/>
          <w:b/>
          <w:bCs/>
          <w:i w:val="0"/>
          <w:iCs w:val="0"/>
        </w:rPr>
        <w:t>Women with disability from C</w:t>
      </w:r>
      <w:r w:rsidR="572AB385" w:rsidRPr="000B2F0D">
        <w:rPr>
          <w:rStyle w:val="Heading4Char"/>
          <w:rFonts w:ascii="Figtree" w:eastAsia="Helvetica" w:hAnsi="Figtree" w:cs="Helvetica"/>
          <w:b/>
          <w:bCs/>
          <w:i w:val="0"/>
          <w:iCs w:val="0"/>
        </w:rPr>
        <w:t>ALD</w:t>
      </w:r>
      <w:r w:rsidRPr="000B2F0D">
        <w:rPr>
          <w:rStyle w:val="Heading4Char"/>
          <w:rFonts w:ascii="Figtree" w:eastAsia="Helvetica" w:hAnsi="Figtree" w:cs="Helvetica"/>
          <w:b/>
          <w:bCs/>
          <w:i w:val="0"/>
          <w:iCs w:val="0"/>
        </w:rPr>
        <w:t xml:space="preserve"> backgrounds or with specific religious identiti</w:t>
      </w:r>
      <w:bookmarkEnd w:id="15"/>
      <w:r w:rsidR="000B2F0D" w:rsidRPr="000B2F0D">
        <w:rPr>
          <w:rStyle w:val="Heading4Char"/>
          <w:rFonts w:ascii="Figtree" w:eastAsia="Helvetica" w:hAnsi="Figtree" w:cs="Helvetica"/>
          <w:b/>
          <w:bCs/>
          <w:i w:val="0"/>
          <w:iCs w:val="0"/>
        </w:rPr>
        <w:t>es</w:t>
      </w:r>
      <w:r w:rsidR="00C22D14" w:rsidRPr="00B4409D">
        <w:rPr>
          <w:rFonts w:ascii="Figtree" w:hAnsi="Figtree" w:cs="Segoe UI"/>
          <w:color w:val="000000" w:themeColor="text1"/>
          <w:sz w:val="21"/>
          <w:szCs w:val="21"/>
        </w:rPr>
        <w:br/>
      </w:r>
      <w:r w:rsidRPr="00B4409D">
        <w:rPr>
          <w:rFonts w:ascii="Figtree" w:eastAsia="Helvetica" w:hAnsi="Figtree" w:cs="Helvetica"/>
          <w:color w:val="000000" w:themeColor="text1"/>
          <w:sz w:val="22"/>
          <w:szCs w:val="22"/>
        </w:rPr>
        <w:t>These women experience overlapping forms of oppression based on race, language, religion, and citizenship status. Cultural stigma and systemic racism further compound their marginalisation</w:t>
      </w:r>
      <w:r w:rsidR="3B5E2ADB" w:rsidRPr="00B4409D">
        <w:rPr>
          <w:rFonts w:ascii="Figtree" w:eastAsia="Helvetica" w:hAnsi="Figtree" w:cs="Helvetica"/>
          <w:sz w:val="22"/>
          <w:szCs w:val="22"/>
        </w:rPr>
        <w:t>.</w:t>
      </w:r>
      <w:r w:rsidR="00854424" w:rsidRPr="00B4409D">
        <w:rPr>
          <w:rStyle w:val="EndnoteReference"/>
          <w:rFonts w:ascii="Figtree" w:eastAsia="Helvetica" w:hAnsi="Figtree" w:cs="Helvetica"/>
        </w:rPr>
        <w:endnoteReference w:id="22"/>
      </w:r>
    </w:p>
    <w:p w14:paraId="59E36E13" w14:textId="77777777" w:rsidR="000B2F0D" w:rsidRPr="00B4409D" w:rsidRDefault="000B2F0D" w:rsidP="00D2461F">
      <w:pPr>
        <w:spacing w:before="100" w:beforeAutospacing="1" w:after="100" w:afterAutospacing="1" w:line="300" w:lineRule="atLeast"/>
        <w:rPr>
          <w:rFonts w:ascii="Figtree" w:eastAsia="Helvetica" w:hAnsi="Figtree" w:cs="Helvetica"/>
        </w:rPr>
      </w:pPr>
    </w:p>
    <w:p w14:paraId="7E516FF3" w14:textId="5E104C64" w:rsidR="07589D33" w:rsidRPr="000B2F0D" w:rsidRDefault="000B2F0D" w:rsidP="000B2F0D">
      <w:pPr>
        <w:pStyle w:val="Heading3"/>
        <w:spacing w:before="240" w:after="240" w:line="276" w:lineRule="auto"/>
        <w:rPr>
          <w:rFonts w:ascii="Figtree" w:eastAsia="Helvetica" w:hAnsi="Figtree" w:cs="Helvetica"/>
          <w:b/>
          <w:bCs/>
          <w:color w:val="156082" w:themeColor="accent1"/>
          <w:sz w:val="32"/>
          <w:szCs w:val="32"/>
        </w:rPr>
      </w:pPr>
      <w:bookmarkStart w:id="16" w:name="_Toc1293166446"/>
      <w:r>
        <w:rPr>
          <w:rFonts w:ascii="Figtree" w:eastAsia="Helvetica" w:hAnsi="Figtree" w:cs="Helvetica"/>
          <w:b/>
          <w:bCs/>
          <w:color w:val="77206D" w:themeColor="accent5" w:themeShade="BF"/>
          <w:sz w:val="32"/>
          <w:szCs w:val="32"/>
        </w:rPr>
        <w:t xml:space="preserve">Specific forms of intersectional violence and discrimination </w:t>
      </w:r>
      <w:bookmarkEnd w:id="16"/>
    </w:p>
    <w:p w14:paraId="52F0B5FC" w14:textId="399DCF3F" w:rsidR="228E0351" w:rsidRPr="00B4409D" w:rsidRDefault="740AC15F" w:rsidP="1FF1FC75">
      <w:pPr>
        <w:spacing w:before="100" w:beforeAutospacing="1" w:after="100" w:afterAutospacing="1" w:line="300" w:lineRule="atLeast"/>
        <w:rPr>
          <w:rFonts w:ascii="Figtree" w:eastAsia="Helvetica" w:hAnsi="Figtree" w:cs="Helvetica"/>
          <w:color w:val="000000" w:themeColor="text1"/>
          <w:sz w:val="22"/>
          <w:szCs w:val="22"/>
        </w:rPr>
      </w:pPr>
      <w:bookmarkStart w:id="17" w:name="_Toc122453814"/>
      <w:r w:rsidRPr="000B2F0D">
        <w:rPr>
          <w:rStyle w:val="Heading4Char"/>
          <w:rFonts w:ascii="Figtree" w:eastAsia="Helvetica" w:hAnsi="Figtree" w:cs="Helvetica"/>
          <w:b/>
          <w:bCs/>
          <w:i w:val="0"/>
          <w:iCs w:val="0"/>
        </w:rPr>
        <w:t>Forced sterilisation and reproductive violence</w:t>
      </w:r>
      <w:bookmarkEnd w:id="17"/>
      <w:r w:rsidR="00C22D14" w:rsidRPr="00B4409D">
        <w:rPr>
          <w:rFonts w:ascii="Figtree" w:hAnsi="Figtree" w:cs="Segoe UI"/>
          <w:color w:val="000000" w:themeColor="text1"/>
          <w:sz w:val="21"/>
          <w:szCs w:val="21"/>
        </w:rPr>
        <w:br/>
      </w:r>
      <w:r w:rsidRPr="00B4409D">
        <w:rPr>
          <w:rFonts w:ascii="Figtree" w:eastAsia="Helvetica" w:hAnsi="Figtree" w:cs="Helvetica"/>
          <w:color w:val="000000" w:themeColor="text1"/>
          <w:sz w:val="22"/>
          <w:szCs w:val="22"/>
        </w:rPr>
        <w:t>Women with disability—especially those who are Indigenous, from C</w:t>
      </w:r>
      <w:r w:rsidR="572AB385" w:rsidRPr="00B4409D">
        <w:rPr>
          <w:rFonts w:ascii="Figtree" w:eastAsia="Helvetica" w:hAnsi="Figtree" w:cs="Helvetica"/>
          <w:color w:val="000000" w:themeColor="text1"/>
          <w:sz w:val="22"/>
          <w:szCs w:val="22"/>
        </w:rPr>
        <w:t>ALD</w:t>
      </w:r>
      <w:r w:rsidRPr="00B4409D">
        <w:rPr>
          <w:rFonts w:ascii="Figtree" w:eastAsia="Helvetica" w:hAnsi="Figtree" w:cs="Helvetica"/>
          <w:color w:val="000000" w:themeColor="text1"/>
          <w:sz w:val="22"/>
          <w:szCs w:val="22"/>
        </w:rPr>
        <w:t xml:space="preserve"> backgrounds, or gender-diverse— experience greater rates of non-consensual medical interventions, violating CRPD Articles 17 and 23</w:t>
      </w:r>
      <w:r w:rsidR="3B5E2ADB" w:rsidRPr="00B4409D">
        <w:rPr>
          <w:rFonts w:ascii="Figtree" w:eastAsia="Helvetica" w:hAnsi="Figtree" w:cs="Helvetica"/>
          <w:color w:val="000000" w:themeColor="text1"/>
          <w:sz w:val="22"/>
          <w:szCs w:val="22"/>
        </w:rPr>
        <w:t>.</w:t>
      </w:r>
      <w:r w:rsidR="00854424" w:rsidRPr="00B4409D">
        <w:rPr>
          <w:rStyle w:val="EndnoteReference"/>
          <w:rFonts w:ascii="Figtree" w:eastAsia="Helvetica" w:hAnsi="Figtree" w:cs="Helvetica"/>
          <w:color w:val="000000" w:themeColor="text1"/>
          <w:sz w:val="22"/>
          <w:szCs w:val="22"/>
        </w:rPr>
        <w:endnoteReference w:id="23"/>
      </w:r>
    </w:p>
    <w:p w14:paraId="0E501321" w14:textId="7F13C6A9" w:rsidR="228E0351" w:rsidRPr="00B4409D" w:rsidRDefault="740AC15F" w:rsidP="00D2461F">
      <w:pPr>
        <w:spacing w:before="100" w:beforeAutospacing="1" w:after="100" w:afterAutospacing="1" w:line="300" w:lineRule="atLeast"/>
        <w:rPr>
          <w:rFonts w:ascii="Figtree" w:eastAsia="Helvetica" w:hAnsi="Figtree" w:cs="Helvetica"/>
          <w:color w:val="000000" w:themeColor="text1"/>
          <w:sz w:val="22"/>
          <w:szCs w:val="22"/>
        </w:rPr>
      </w:pPr>
      <w:bookmarkStart w:id="18" w:name="_Toc1601850393"/>
      <w:r w:rsidRPr="000B2F0D">
        <w:rPr>
          <w:rStyle w:val="Heading4Char"/>
          <w:rFonts w:ascii="Figtree" w:eastAsia="Helvetica" w:hAnsi="Figtree" w:cs="Helvetica"/>
          <w:b/>
          <w:bCs/>
          <w:i w:val="0"/>
          <w:iCs w:val="0"/>
        </w:rPr>
        <w:t>Bullying, exclusion, and denial of participation</w:t>
      </w:r>
      <w:bookmarkEnd w:id="18"/>
      <w:r w:rsidR="00C22D14" w:rsidRPr="00B4409D">
        <w:rPr>
          <w:rFonts w:ascii="Figtree" w:hAnsi="Figtree" w:cs="Segoe UI"/>
          <w:color w:val="000000" w:themeColor="text1"/>
          <w:sz w:val="21"/>
          <w:szCs w:val="21"/>
        </w:rPr>
        <w:br/>
      </w:r>
      <w:r w:rsidRPr="00B4409D">
        <w:rPr>
          <w:rFonts w:ascii="Figtree" w:eastAsia="Helvetica" w:hAnsi="Figtree" w:cs="Helvetica"/>
          <w:color w:val="000000" w:themeColor="text1"/>
          <w:sz w:val="22"/>
          <w:szCs w:val="22"/>
        </w:rPr>
        <w:t>Discrimination in education, employment, housing, and justice systems is intensified for those with intersecting identities, leading to lifelong exclusion and poverty.</w:t>
      </w:r>
      <w:r w:rsidR="00126507" w:rsidRPr="00B4409D">
        <w:rPr>
          <w:rStyle w:val="EndnoteReference"/>
          <w:rFonts w:ascii="Figtree" w:eastAsia="Helvetica" w:hAnsi="Figtree" w:cs="Helvetica"/>
          <w:color w:val="000000" w:themeColor="text1"/>
          <w:sz w:val="22"/>
          <w:szCs w:val="22"/>
        </w:rPr>
        <w:endnoteReference w:id="24"/>
      </w:r>
    </w:p>
    <w:p w14:paraId="624A2725" w14:textId="4B70906F" w:rsidR="00C22D14" w:rsidRDefault="740AC15F" w:rsidP="481AF7C6">
      <w:pPr>
        <w:spacing w:before="100" w:beforeAutospacing="1" w:after="100" w:afterAutospacing="1" w:line="300" w:lineRule="atLeast"/>
        <w:rPr>
          <w:rFonts w:ascii="Figtree" w:eastAsia="Helvetica" w:hAnsi="Figtree" w:cs="Helvetica"/>
          <w:color w:val="000000" w:themeColor="text1"/>
          <w:sz w:val="22"/>
          <w:szCs w:val="22"/>
        </w:rPr>
      </w:pPr>
      <w:bookmarkStart w:id="19" w:name="_Toc115577549"/>
      <w:r w:rsidRPr="000B2F0D">
        <w:rPr>
          <w:rStyle w:val="Heading4Char"/>
          <w:rFonts w:ascii="Figtree" w:eastAsia="Helvetica" w:hAnsi="Figtree" w:cs="Helvetica"/>
          <w:b/>
          <w:bCs/>
          <w:i w:val="0"/>
          <w:iCs w:val="0"/>
        </w:rPr>
        <w:t>Sexual, physical, emotional, and financial abuse</w:t>
      </w:r>
      <w:bookmarkEnd w:id="19"/>
      <w:r w:rsidR="00C22D14" w:rsidRPr="00B4409D">
        <w:rPr>
          <w:rFonts w:ascii="Figtree" w:hAnsi="Figtree" w:cs="Segoe UI"/>
          <w:color w:val="000000" w:themeColor="text1"/>
          <w:sz w:val="21"/>
          <w:szCs w:val="21"/>
        </w:rPr>
        <w:br/>
      </w:r>
      <w:r w:rsidRPr="00B4409D">
        <w:rPr>
          <w:rFonts w:ascii="Figtree" w:eastAsia="Helvetica" w:hAnsi="Figtree" w:cs="Helvetica"/>
          <w:color w:val="000000" w:themeColor="text1"/>
          <w:sz w:val="22"/>
          <w:szCs w:val="22"/>
        </w:rPr>
        <w:t>Women and girls with disabilities face higher rates and severity of abuse, often in settings where they are isolated or dependent on others for care/support. Restrictive practices and denial of autonomy are common.</w:t>
      </w:r>
      <w:r w:rsidR="00126507" w:rsidRPr="00B4409D">
        <w:rPr>
          <w:rStyle w:val="EndnoteReference"/>
          <w:rFonts w:ascii="Figtree" w:eastAsia="Helvetica" w:hAnsi="Figtree" w:cs="Helvetica"/>
          <w:color w:val="000000" w:themeColor="text1"/>
          <w:sz w:val="22"/>
          <w:szCs w:val="22"/>
        </w:rPr>
        <w:endnoteReference w:id="25"/>
      </w:r>
    </w:p>
    <w:p w14:paraId="558BA051" w14:textId="77777777" w:rsidR="000B2F0D" w:rsidRPr="00B4409D" w:rsidRDefault="000B2F0D" w:rsidP="481AF7C6">
      <w:pPr>
        <w:spacing w:before="100" w:beforeAutospacing="1" w:after="100" w:afterAutospacing="1" w:line="300" w:lineRule="atLeast"/>
        <w:rPr>
          <w:rFonts w:ascii="Figtree" w:eastAsia="Helvetica" w:hAnsi="Figtree" w:cs="Helvetica"/>
          <w:color w:val="000000" w:themeColor="text1"/>
          <w:sz w:val="21"/>
          <w:szCs w:val="21"/>
        </w:rPr>
      </w:pPr>
    </w:p>
    <w:p w14:paraId="102DF973" w14:textId="7157933F" w:rsidR="00C22D14" w:rsidRPr="00B4409D" w:rsidRDefault="000B2F0D" w:rsidP="00F659D8">
      <w:pPr>
        <w:pStyle w:val="Heading3"/>
        <w:spacing w:after="0"/>
        <w:rPr>
          <w:rFonts w:ascii="Figtree" w:eastAsia="Helvetica" w:hAnsi="Figtree" w:cs="Helvetica"/>
          <w:b/>
          <w:bCs/>
          <w:color w:val="000000" w:themeColor="text1"/>
        </w:rPr>
      </w:pPr>
      <w:bookmarkStart w:id="20" w:name="_Toc1683497399"/>
      <w:r>
        <w:rPr>
          <w:rFonts w:ascii="Figtree" w:eastAsia="Helvetica" w:hAnsi="Figtree" w:cs="Helvetica"/>
          <w:b/>
          <w:bCs/>
          <w:color w:val="77206D" w:themeColor="accent5" w:themeShade="BF"/>
          <w:sz w:val="32"/>
          <w:szCs w:val="32"/>
        </w:rPr>
        <w:lastRenderedPageBreak/>
        <w:t>Specific CRPD alignment</w:t>
      </w:r>
      <w:bookmarkEnd w:id="20"/>
    </w:p>
    <w:p w14:paraId="4EC76AFF" w14:textId="1DD40991" w:rsidR="00C22D14" w:rsidRPr="00B4409D" w:rsidRDefault="740AC15F" w:rsidP="228E0351">
      <w:p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This analysis aligns with CRPD General Comment No. 3 (para. 31), which calls for the elimination of violence in institutional and service settings, and General Comment No. 6, which emphasises the need to address the root causes of exclusion through an intersectional lens. The UN Special Rapporteur on Torture has also condemned forced medical interventions against trans and intersex people with disability as violations of international law</w:t>
      </w:r>
      <w:r w:rsidR="11263883" w:rsidRPr="00B4409D">
        <w:rPr>
          <w:rFonts w:ascii="Figtree" w:eastAsia="Helvetica" w:hAnsi="Figtree" w:cs="Helvetica"/>
          <w:color w:val="000000" w:themeColor="text1"/>
          <w:sz w:val="22"/>
          <w:szCs w:val="22"/>
        </w:rPr>
        <w:t>.</w:t>
      </w:r>
      <w:r w:rsidR="00126507" w:rsidRPr="00B4409D">
        <w:rPr>
          <w:rStyle w:val="EndnoteReference"/>
          <w:rFonts w:ascii="Figtree" w:eastAsia="Helvetica" w:hAnsi="Figtree" w:cs="Helvetica"/>
          <w:color w:val="000000" w:themeColor="text1"/>
          <w:sz w:val="22"/>
          <w:szCs w:val="22"/>
        </w:rPr>
        <w:endnoteReference w:id="26"/>
      </w:r>
    </w:p>
    <w:p w14:paraId="72C84AFE" w14:textId="77777777" w:rsidR="006C1573" w:rsidRPr="00B4409D" w:rsidRDefault="006C1573" w:rsidP="228E0351">
      <w:pPr>
        <w:spacing w:line="300" w:lineRule="atLeast"/>
        <w:rPr>
          <w:rFonts w:ascii="Figtree" w:eastAsia="Helvetica" w:hAnsi="Figtree" w:cs="Helvetica"/>
          <w:color w:val="000000" w:themeColor="text1"/>
          <w:sz w:val="21"/>
          <w:szCs w:val="21"/>
        </w:rPr>
      </w:pPr>
    </w:p>
    <w:p w14:paraId="7DDAD592" w14:textId="044AF06B" w:rsidR="228E0351" w:rsidRPr="00B4409D" w:rsidRDefault="293559CA" w:rsidP="00D2461F">
      <w:pPr>
        <w:pStyle w:val="Heading2"/>
        <w:numPr>
          <w:ilvl w:val="0"/>
          <w:numId w:val="3"/>
        </w:numPr>
        <w:rPr>
          <w:rFonts w:ascii="Figtree" w:eastAsia="Helvetica" w:hAnsi="Figtree" w:cs="Helvetica"/>
          <w:color w:val="000000" w:themeColor="text1"/>
        </w:rPr>
      </w:pPr>
      <w:bookmarkStart w:id="21" w:name="_Toc770378248"/>
      <w:r w:rsidRPr="00B4409D">
        <w:rPr>
          <w:rFonts w:ascii="Figtree" w:eastAsia="Helvetica" w:hAnsi="Figtree" w:cs="Helvetica"/>
        </w:rPr>
        <w:t>Describe the areas of life in which women and girls with disabilities exposed to multiple and intersecting forms of discrimination are more excluded from the access and enjoyment of their rights. (examples: in housing, access to justice, employment, political participation, etc.)</w:t>
      </w:r>
      <w:bookmarkEnd w:id="21"/>
      <w:r w:rsidRPr="00B4409D">
        <w:rPr>
          <w:rFonts w:ascii="Figtree" w:eastAsia="Helvetica" w:hAnsi="Figtree" w:cs="Helvetica"/>
        </w:rPr>
        <w:t> </w:t>
      </w:r>
    </w:p>
    <w:p w14:paraId="2A3F0E7A" w14:textId="3E3411D2" w:rsidR="60592233" w:rsidRDefault="481AF7C6" w:rsidP="1FF1FC75">
      <w:pPr>
        <w:spacing w:beforeAutospacing="1"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 xml:space="preserve">Women and girls with disabilities in Australia are disproportionately excluded from the full enjoyment of their rights across multiple domains of life. These exclusions are not isolated, but </w:t>
      </w:r>
      <w:r w:rsidR="3D9537BB" w:rsidRPr="00B4409D">
        <w:rPr>
          <w:rFonts w:ascii="Figtree" w:eastAsia="Helvetica" w:hAnsi="Figtree" w:cs="Helvetica"/>
          <w:color w:val="000000" w:themeColor="text1"/>
          <w:sz w:val="22"/>
          <w:szCs w:val="22"/>
        </w:rPr>
        <w:t>systemic and</w:t>
      </w:r>
      <w:r w:rsidRPr="00B4409D">
        <w:rPr>
          <w:rFonts w:ascii="Figtree" w:eastAsia="Helvetica" w:hAnsi="Figtree" w:cs="Helvetica"/>
          <w:color w:val="000000" w:themeColor="text1"/>
          <w:sz w:val="22"/>
          <w:szCs w:val="22"/>
        </w:rPr>
        <w:t xml:space="preserve"> shaped by the interaction of disability with gender, age, race, migration status, sexual orientation, and other identity factors. The following areas are particularly affected.</w:t>
      </w:r>
    </w:p>
    <w:p w14:paraId="160DA473" w14:textId="77777777" w:rsidR="000B2F0D" w:rsidRDefault="000B2F0D" w:rsidP="00F659D8">
      <w:pPr>
        <w:pStyle w:val="Heading3"/>
        <w:spacing w:after="0"/>
        <w:rPr>
          <w:rFonts w:ascii="Figtree" w:eastAsia="Helvetica" w:hAnsi="Figtree" w:cs="Helvetica"/>
          <w:b/>
          <w:bCs/>
          <w:color w:val="77206D" w:themeColor="accent5" w:themeShade="BF"/>
          <w:sz w:val="32"/>
          <w:szCs w:val="32"/>
        </w:rPr>
      </w:pPr>
      <w:bookmarkStart w:id="22" w:name="_Toc552849021"/>
    </w:p>
    <w:p w14:paraId="3C25C26E" w14:textId="10AB489F" w:rsidR="00187CF3" w:rsidRPr="00B4409D" w:rsidRDefault="000B2F0D" w:rsidP="00F659D8">
      <w:pPr>
        <w:pStyle w:val="Heading3"/>
        <w:spacing w:after="0"/>
        <w:rPr>
          <w:rFonts w:ascii="Figtree" w:eastAsia="Helvetica" w:hAnsi="Figtree" w:cs="Helvetica"/>
          <w:b/>
          <w:bCs/>
          <w:color w:val="000000" w:themeColor="text1"/>
        </w:rPr>
      </w:pPr>
      <w:r>
        <w:rPr>
          <w:rFonts w:ascii="Figtree" w:eastAsia="Helvetica" w:hAnsi="Figtree" w:cs="Helvetica"/>
          <w:b/>
          <w:bCs/>
          <w:color w:val="77206D" w:themeColor="accent5" w:themeShade="BF"/>
          <w:sz w:val="32"/>
          <w:szCs w:val="32"/>
        </w:rPr>
        <w:t xml:space="preserve">Employment </w:t>
      </w:r>
      <w:bookmarkEnd w:id="22"/>
    </w:p>
    <w:p w14:paraId="0FA0D4C0" w14:textId="77777777" w:rsidR="00187CF3" w:rsidRPr="00B4409D" w:rsidRDefault="60592233" w:rsidP="228E0351">
      <w:p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Women and girls with disabilities face significant barriers to accessing, retaining, and progressing in employment. They are more likely than men with disabilities or non-disabled women to be:</w:t>
      </w:r>
    </w:p>
    <w:p w14:paraId="280E749C" w14:textId="77777777" w:rsidR="00187CF3" w:rsidRPr="00B4409D" w:rsidRDefault="60592233" w:rsidP="228E0351">
      <w:pPr>
        <w:numPr>
          <w:ilvl w:val="0"/>
          <w:numId w:val="12"/>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Unemployed or underemployed</w:t>
      </w:r>
    </w:p>
    <w:p w14:paraId="4D9C5A9D" w14:textId="77777777" w:rsidR="00187CF3" w:rsidRPr="00B4409D" w:rsidRDefault="60592233" w:rsidP="228E0351">
      <w:pPr>
        <w:numPr>
          <w:ilvl w:val="0"/>
          <w:numId w:val="12"/>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Concentrated in precarious, informal, or low-paid work</w:t>
      </w:r>
    </w:p>
    <w:p w14:paraId="024D1FFE" w14:textId="77777777" w:rsidR="00187CF3" w:rsidRPr="00B4409D" w:rsidRDefault="60592233" w:rsidP="228E0351">
      <w:pPr>
        <w:numPr>
          <w:ilvl w:val="0"/>
          <w:numId w:val="12"/>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Denied workplace adjustments and career development opportunities</w:t>
      </w:r>
    </w:p>
    <w:p w14:paraId="60A5D3C1" w14:textId="0F7F0A11" w:rsidR="228E0351" w:rsidRPr="00B4409D" w:rsidRDefault="60592233" w:rsidP="228E0351">
      <w:pPr>
        <w:numPr>
          <w:ilvl w:val="0"/>
          <w:numId w:val="12"/>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Subject to gender and disability bias in labour markets</w:t>
      </w:r>
    </w:p>
    <w:p w14:paraId="46E1C1DC" w14:textId="53120CC7" w:rsidR="228E0351" w:rsidRPr="00B4409D" w:rsidRDefault="60592233" w:rsidP="00D2461F">
      <w:pPr>
        <w:spacing w:before="100" w:beforeAutospacing="1" w:after="100" w:afterAutospacing="1" w:line="300" w:lineRule="atLeast"/>
        <w:rPr>
          <w:rFonts w:ascii="Figtree" w:eastAsia="Helvetica" w:hAnsi="Figtree" w:cs="Helvetica"/>
          <w:color w:val="000000" w:themeColor="text1"/>
          <w:sz w:val="21"/>
          <w:szCs w:val="21"/>
        </w:rPr>
      </w:pPr>
      <w:r w:rsidRPr="00B4409D">
        <w:rPr>
          <w:rFonts w:ascii="Figtree" w:eastAsia="Helvetica" w:hAnsi="Figtree" w:cs="Helvetica"/>
          <w:color w:val="000000" w:themeColor="text1"/>
          <w:sz w:val="21"/>
          <w:szCs w:val="21"/>
        </w:rPr>
        <w:t>As WWDA notes:</w:t>
      </w:r>
    </w:p>
    <w:p w14:paraId="1A201DF9" w14:textId="7255DBFD" w:rsidR="00187CF3" w:rsidRDefault="3281D4E3" w:rsidP="00D2461F">
      <w:pPr>
        <w:spacing w:before="100" w:beforeAutospacing="1" w:after="100" w:afterAutospacing="1"/>
        <w:jc w:val="center"/>
        <w:rPr>
          <w:rStyle w:val="QuoteChar"/>
          <w:rFonts w:ascii="Figtree" w:eastAsia="Helvetica" w:hAnsi="Figtree" w:cs="Helvetica"/>
          <w:sz w:val="20"/>
          <w:szCs w:val="20"/>
        </w:rPr>
      </w:pPr>
      <w:r w:rsidRPr="000B2F0D">
        <w:rPr>
          <w:rStyle w:val="QuoteChar"/>
          <w:rFonts w:ascii="Figtree" w:eastAsia="Helvetica" w:hAnsi="Figtree" w:cs="Helvetica"/>
          <w:b/>
          <w:bCs/>
          <w:color w:val="156082" w:themeColor="accent1"/>
          <w:sz w:val="20"/>
          <w:szCs w:val="20"/>
        </w:rPr>
        <w:t>“</w:t>
      </w:r>
      <w:r w:rsidR="671ADDA1" w:rsidRPr="000B2F0D">
        <w:rPr>
          <w:rStyle w:val="QuoteChar"/>
          <w:rFonts w:ascii="Figtree" w:eastAsia="Helvetica" w:hAnsi="Figtree" w:cs="Helvetica"/>
          <w:b/>
          <w:bCs/>
          <w:color w:val="156082" w:themeColor="accent1"/>
          <w:sz w:val="20"/>
          <w:szCs w:val="20"/>
        </w:rPr>
        <w:t>Trans and non-binary people with disability also experience higher unemployment and workplace exclusion due to transphobia, misgendering, and lack of gender-affirming policies</w:t>
      </w:r>
      <w:r w:rsidR="11263883" w:rsidRPr="000B2F0D">
        <w:rPr>
          <w:rStyle w:val="QuoteChar"/>
          <w:rFonts w:ascii="Figtree" w:eastAsia="Helvetica" w:hAnsi="Figtree" w:cs="Helvetica"/>
          <w:b/>
          <w:bCs/>
          <w:color w:val="156082" w:themeColor="accent1"/>
          <w:sz w:val="20"/>
          <w:szCs w:val="20"/>
        </w:rPr>
        <w:t>.</w:t>
      </w:r>
      <w:r w:rsidRPr="000B2F0D">
        <w:rPr>
          <w:rStyle w:val="QuoteChar"/>
          <w:rFonts w:ascii="Figtree" w:eastAsia="Helvetica" w:hAnsi="Figtree" w:cs="Helvetica"/>
          <w:b/>
          <w:bCs/>
          <w:color w:val="156082" w:themeColor="accent1"/>
          <w:sz w:val="20"/>
          <w:szCs w:val="20"/>
        </w:rPr>
        <w:t>”</w:t>
      </w:r>
      <w:r w:rsidRPr="000B2F0D">
        <w:rPr>
          <w:rStyle w:val="QuoteChar"/>
          <w:rFonts w:ascii="Figtree" w:eastAsia="Helvetica" w:hAnsi="Figtree" w:cs="Helvetica"/>
          <w:color w:val="156082" w:themeColor="accent1"/>
          <w:sz w:val="20"/>
          <w:szCs w:val="20"/>
        </w:rPr>
        <w:t xml:space="preserve"> </w:t>
      </w:r>
      <w:r w:rsidR="00126507" w:rsidRPr="00B4409D">
        <w:rPr>
          <w:rStyle w:val="EndnoteReference"/>
          <w:rFonts w:ascii="Figtree" w:eastAsia="Helvetica" w:hAnsi="Figtree" w:cs="Helvetica"/>
          <w:color w:val="000000" w:themeColor="text1"/>
          <w:sz w:val="20"/>
          <w:szCs w:val="20"/>
        </w:rPr>
        <w:endnoteReference w:id="27"/>
      </w:r>
    </w:p>
    <w:p w14:paraId="74094A38" w14:textId="77777777" w:rsidR="000B2F0D" w:rsidRPr="00B4409D" w:rsidRDefault="000B2F0D" w:rsidP="00D2461F">
      <w:pPr>
        <w:spacing w:before="100" w:beforeAutospacing="1" w:after="100" w:afterAutospacing="1"/>
        <w:jc w:val="center"/>
        <w:rPr>
          <w:rFonts w:ascii="Figtree" w:eastAsia="Helvetica" w:hAnsi="Figtree" w:cs="Helvetica"/>
          <w:color w:val="000000" w:themeColor="text1"/>
          <w:sz w:val="20"/>
          <w:szCs w:val="20"/>
        </w:rPr>
      </w:pPr>
    </w:p>
    <w:p w14:paraId="51CCF60A" w14:textId="44E881FA" w:rsidR="000B2F0D" w:rsidRDefault="000B2F0D" w:rsidP="000B2F0D">
      <w:pPr>
        <w:pStyle w:val="Heading3"/>
        <w:spacing w:after="0"/>
        <w:rPr>
          <w:rFonts w:ascii="Figtree" w:eastAsia="Helvetica" w:hAnsi="Figtree" w:cs="Helvetica"/>
          <w:b/>
          <w:bCs/>
          <w:color w:val="77206D" w:themeColor="accent5" w:themeShade="BF"/>
          <w:sz w:val="32"/>
          <w:szCs w:val="32"/>
        </w:rPr>
      </w:pPr>
      <w:bookmarkStart w:id="23" w:name="_Toc2112397299"/>
      <w:r>
        <w:rPr>
          <w:rFonts w:ascii="Figtree" w:eastAsia="Helvetica" w:hAnsi="Figtree" w:cs="Helvetica"/>
          <w:b/>
          <w:bCs/>
          <w:color w:val="77206D" w:themeColor="accent5" w:themeShade="BF"/>
          <w:sz w:val="32"/>
          <w:szCs w:val="32"/>
        </w:rPr>
        <w:lastRenderedPageBreak/>
        <w:t>Housing</w:t>
      </w:r>
    </w:p>
    <w:p w14:paraId="2DEC1A0F" w14:textId="77777777" w:rsidR="006A70C9" w:rsidRPr="006A70C9" w:rsidRDefault="006A70C9" w:rsidP="006A70C9">
      <w:pPr>
        <w:rPr>
          <w:rFonts w:eastAsia="Helvetica"/>
        </w:rPr>
      </w:pPr>
    </w:p>
    <w:bookmarkEnd w:id="23"/>
    <w:p w14:paraId="65AF559B" w14:textId="44692A54" w:rsidR="00187CF3" w:rsidRPr="00B4409D" w:rsidRDefault="293559CA" w:rsidP="00D2461F">
      <w:pPr>
        <w:spacing w:before="75" w:after="75" w:line="300" w:lineRule="auto"/>
        <w:ind w:right="75"/>
        <w:rPr>
          <w:rFonts w:ascii="Figtree" w:eastAsia="Helvetica" w:hAnsi="Figtree" w:cs="Helvetica"/>
          <w:color w:val="242424"/>
          <w:sz w:val="22"/>
          <w:szCs w:val="22"/>
        </w:rPr>
      </w:pPr>
      <w:r w:rsidRPr="00B4409D">
        <w:rPr>
          <w:rFonts w:ascii="Figtree" w:eastAsia="Helvetica" w:hAnsi="Figtree" w:cs="Helvetica"/>
          <w:color w:val="000000" w:themeColor="text1"/>
          <w:sz w:val="22"/>
          <w:szCs w:val="22"/>
        </w:rPr>
        <w:t>Women with disabilities are over-represented in public housing, face housing insecurity, and are at increased risk of homelessness. Older women with disability are the fastest-growing cohort of homeless Australians.</w:t>
      </w:r>
      <w:r w:rsidRPr="00B4409D">
        <w:rPr>
          <w:rFonts w:ascii="Figtree" w:eastAsia="Helvetica" w:hAnsi="Figtree" w:cs="Helvetica"/>
          <w:color w:val="242424"/>
          <w:sz w:val="22"/>
          <w:szCs w:val="22"/>
        </w:rPr>
        <w:t xml:space="preserve"> There are several barriers to public housing for people with disability, for example, long wait lists, physical inaccessibility, </w:t>
      </w:r>
      <w:r w:rsidR="2F3B6E3E" w:rsidRPr="00B4409D">
        <w:rPr>
          <w:rFonts w:ascii="Figtree" w:eastAsia="Helvetica" w:hAnsi="Figtree" w:cs="Helvetica"/>
          <w:color w:val="242424"/>
          <w:sz w:val="22"/>
          <w:szCs w:val="22"/>
        </w:rPr>
        <w:t>a</w:t>
      </w:r>
      <w:r w:rsidRPr="00B4409D">
        <w:rPr>
          <w:rFonts w:ascii="Figtree" w:eastAsia="Helvetica" w:hAnsi="Figtree" w:cs="Helvetica"/>
          <w:color w:val="242424"/>
          <w:sz w:val="22"/>
          <w:szCs w:val="22"/>
        </w:rPr>
        <w:t>nd the strong links between housing and gender-based violence. In a recent survey conducted by WWDA, 43% of respondents reported experiencing housing insecurity.</w:t>
      </w:r>
      <w:r w:rsidR="00542787" w:rsidRPr="00B4409D">
        <w:rPr>
          <w:rStyle w:val="EndnoteReference"/>
          <w:rFonts w:ascii="Figtree" w:eastAsia="Helvetica" w:hAnsi="Figtree" w:cs="Helvetica"/>
          <w:color w:val="242424"/>
          <w:sz w:val="22"/>
          <w:szCs w:val="22"/>
        </w:rPr>
        <w:endnoteReference w:id="28"/>
      </w:r>
      <w:r w:rsidRPr="00B4409D">
        <w:rPr>
          <w:rFonts w:ascii="Figtree" w:eastAsia="Helvetica" w:hAnsi="Figtree" w:cs="Helvetica"/>
          <w:color w:val="242424"/>
          <w:sz w:val="22"/>
          <w:szCs w:val="22"/>
        </w:rPr>
        <w:t xml:space="preserve"> Alarmingly, 17% of these cases were connected to family or domestic violence.</w:t>
      </w:r>
    </w:p>
    <w:p w14:paraId="54418988" w14:textId="131B2DB6" w:rsidR="00187CF3" w:rsidRPr="000B2F0D" w:rsidRDefault="671ADDA1" w:rsidP="1FF1FC75">
      <w:pPr>
        <w:spacing w:before="100" w:beforeAutospacing="1" w:after="100" w:afterAutospacing="1"/>
        <w:jc w:val="center"/>
        <w:rPr>
          <w:rFonts w:ascii="Figtree" w:eastAsia="Helvetica" w:hAnsi="Figtree" w:cs="Helvetica"/>
          <w:color w:val="156082" w:themeColor="accent1"/>
          <w:sz w:val="20"/>
          <w:szCs w:val="20"/>
        </w:rPr>
      </w:pPr>
      <w:r w:rsidRPr="000B2F0D">
        <w:rPr>
          <w:rStyle w:val="QuoteChar"/>
          <w:rFonts w:ascii="Figtree" w:eastAsia="Helvetica" w:hAnsi="Figtree" w:cs="Helvetica"/>
          <w:b/>
          <w:bCs/>
          <w:color w:val="156082" w:themeColor="accent1"/>
        </w:rPr>
        <w:t>“</w:t>
      </w:r>
      <w:r w:rsidRPr="000B2F0D">
        <w:rPr>
          <w:rStyle w:val="QuoteChar"/>
          <w:rFonts w:ascii="Figtree" w:eastAsia="Helvetica" w:hAnsi="Figtree" w:cs="Helvetica"/>
          <w:b/>
          <w:bCs/>
          <w:color w:val="156082" w:themeColor="accent1"/>
          <w:sz w:val="20"/>
          <w:szCs w:val="20"/>
        </w:rPr>
        <w:t>Women with disability… pay the highest level of their gross income on housing although they are in the lowest income brackets</w:t>
      </w:r>
      <w:r w:rsidRPr="000B2F0D">
        <w:rPr>
          <w:rStyle w:val="QuoteChar"/>
          <w:rFonts w:ascii="Figtree" w:eastAsia="Helvetica" w:hAnsi="Figtree" w:cs="Helvetica"/>
          <w:color w:val="156082" w:themeColor="accent1"/>
          <w:sz w:val="20"/>
          <w:szCs w:val="20"/>
        </w:rPr>
        <w:t>.</w:t>
      </w:r>
      <w:r w:rsidRPr="000B2F0D">
        <w:rPr>
          <w:rFonts w:ascii="Figtree" w:eastAsia="Helvetica" w:hAnsi="Figtree" w:cs="Helvetica"/>
          <w:color w:val="156082" w:themeColor="accent1"/>
          <w:sz w:val="20"/>
          <w:szCs w:val="20"/>
        </w:rPr>
        <w:t>”</w:t>
      </w:r>
      <w:r w:rsidR="00126507" w:rsidRPr="000B2F0D">
        <w:rPr>
          <w:rStyle w:val="EndnoteReference"/>
          <w:rFonts w:ascii="Figtree" w:eastAsia="Helvetica" w:hAnsi="Figtree" w:cs="Helvetica"/>
          <w:color w:val="156082" w:themeColor="accent1"/>
          <w:sz w:val="20"/>
          <w:szCs w:val="20"/>
        </w:rPr>
        <w:endnoteReference w:id="29"/>
      </w:r>
    </w:p>
    <w:p w14:paraId="406D59B8" w14:textId="0338C09D" w:rsidR="000B2F0D" w:rsidRPr="00B4409D" w:rsidRDefault="000B2F0D" w:rsidP="000B2F0D">
      <w:pPr>
        <w:pStyle w:val="Heading3"/>
        <w:spacing w:after="0"/>
        <w:rPr>
          <w:rFonts w:ascii="Figtree" w:eastAsia="Helvetica" w:hAnsi="Figtree" w:cs="Helvetica"/>
          <w:b/>
          <w:bCs/>
          <w:color w:val="000000" w:themeColor="text1"/>
        </w:rPr>
      </w:pPr>
      <w:bookmarkStart w:id="24" w:name="_Toc1534053325"/>
      <w:r>
        <w:rPr>
          <w:rFonts w:ascii="Figtree" w:eastAsia="Helvetica" w:hAnsi="Figtree" w:cs="Helvetica"/>
          <w:b/>
          <w:bCs/>
          <w:color w:val="77206D" w:themeColor="accent5" w:themeShade="BF"/>
          <w:sz w:val="32"/>
          <w:szCs w:val="32"/>
        </w:rPr>
        <w:t>Access to justice</w:t>
      </w:r>
    </w:p>
    <w:bookmarkEnd w:id="24"/>
    <w:p w14:paraId="4E75182E" w14:textId="77777777" w:rsidR="00187CF3" w:rsidRPr="00B4409D" w:rsidRDefault="60592233" w:rsidP="228E0351">
      <w:p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Women and girls with disabilities face systemic barriers in the justice system, including:</w:t>
      </w:r>
    </w:p>
    <w:p w14:paraId="7D2D83E2" w14:textId="77777777" w:rsidR="00187CF3" w:rsidRPr="00B4409D" w:rsidRDefault="60592233" w:rsidP="228E0351">
      <w:pPr>
        <w:numPr>
          <w:ilvl w:val="0"/>
          <w:numId w:val="13"/>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Discriminatory attitudes and credibility bias</w:t>
      </w:r>
    </w:p>
    <w:p w14:paraId="562979E0" w14:textId="77777777" w:rsidR="00187CF3" w:rsidRPr="00B4409D" w:rsidRDefault="60592233" w:rsidP="228E0351">
      <w:pPr>
        <w:numPr>
          <w:ilvl w:val="0"/>
          <w:numId w:val="13"/>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Lack of legal and procedural adjustments</w:t>
      </w:r>
    </w:p>
    <w:p w14:paraId="10355B1F" w14:textId="77777777" w:rsidR="00187CF3" w:rsidRPr="00B4409D" w:rsidRDefault="60592233" w:rsidP="228E0351">
      <w:pPr>
        <w:numPr>
          <w:ilvl w:val="0"/>
          <w:numId w:val="13"/>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Inaccessible services and environments</w:t>
      </w:r>
    </w:p>
    <w:p w14:paraId="727AA0AA" w14:textId="7BBFC743" w:rsidR="228E0351" w:rsidRPr="00B4409D" w:rsidRDefault="60592233" w:rsidP="00D2461F">
      <w:pPr>
        <w:numPr>
          <w:ilvl w:val="0"/>
          <w:numId w:val="13"/>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Institutionalisation and denial of legal capacity</w:t>
      </w:r>
      <w:r w:rsidR="00F659D8" w:rsidRPr="00B4409D">
        <w:rPr>
          <w:rFonts w:ascii="Figtree" w:eastAsia="Helvetica" w:hAnsi="Figtree" w:cs="Helvetica"/>
          <w:color w:val="000000" w:themeColor="text1"/>
          <w:sz w:val="22"/>
          <w:szCs w:val="22"/>
        </w:rPr>
        <w:t>.</w:t>
      </w:r>
    </w:p>
    <w:p w14:paraId="11833937" w14:textId="05DF768E" w:rsidR="228E0351" w:rsidRPr="000B2F0D" w:rsidRDefault="671ADDA1" w:rsidP="00D2461F">
      <w:pPr>
        <w:pStyle w:val="Quote"/>
        <w:rPr>
          <w:rFonts w:ascii="Figtree" w:eastAsia="Helvetica" w:hAnsi="Figtree" w:cs="Helvetica"/>
          <w:b/>
          <w:bCs/>
          <w:color w:val="156082" w:themeColor="accent1"/>
          <w:sz w:val="20"/>
          <w:szCs w:val="20"/>
        </w:rPr>
      </w:pPr>
      <w:r w:rsidRPr="000B2F0D">
        <w:rPr>
          <w:rFonts w:ascii="Figtree" w:eastAsia="Helvetica" w:hAnsi="Figtree" w:cs="Helvetica"/>
          <w:b/>
          <w:bCs/>
          <w:color w:val="156082" w:themeColor="accent1"/>
          <w:sz w:val="20"/>
          <w:szCs w:val="20"/>
        </w:rPr>
        <w:t>“Women with disability engaging in the justice system face significant barriers… often left without legal redress.”</w:t>
      </w:r>
      <w:r w:rsidR="3281D4E3" w:rsidRPr="000B2F0D">
        <w:rPr>
          <w:rFonts w:ascii="Figtree" w:eastAsia="Helvetica" w:hAnsi="Figtree" w:cs="Helvetica"/>
          <w:b/>
          <w:bCs/>
          <w:color w:val="156082" w:themeColor="accent1"/>
          <w:sz w:val="20"/>
          <w:szCs w:val="20"/>
        </w:rPr>
        <w:t xml:space="preserve"> </w:t>
      </w:r>
      <w:r w:rsidR="00126507" w:rsidRPr="000B2F0D">
        <w:rPr>
          <w:rStyle w:val="EndnoteReference"/>
          <w:rFonts w:ascii="Figtree" w:eastAsia="Helvetica" w:hAnsi="Figtree"/>
          <w:b/>
          <w:bCs/>
          <w:color w:val="156082" w:themeColor="accent1"/>
        </w:rPr>
        <w:endnoteReference w:id="30"/>
      </w:r>
    </w:p>
    <w:p w14:paraId="18C235CB" w14:textId="3AC347D1" w:rsidR="60592233" w:rsidRPr="00B4409D" w:rsidRDefault="60592233" w:rsidP="228E0351">
      <w:pPr>
        <w:spacing w:beforeAutospacing="1"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These barriers are intensified for Indigenous women, culturally diverse women, and LGBTQIA+ people with disability.</w:t>
      </w:r>
    </w:p>
    <w:p w14:paraId="735B4B64" w14:textId="77777777" w:rsidR="000B2F0D" w:rsidRDefault="000B2F0D" w:rsidP="00F659D8">
      <w:pPr>
        <w:pStyle w:val="Heading3"/>
        <w:spacing w:after="0"/>
        <w:rPr>
          <w:rFonts w:ascii="Figtree" w:eastAsia="Helvetica" w:hAnsi="Figtree" w:cs="Helvetica"/>
        </w:rPr>
      </w:pPr>
      <w:bookmarkStart w:id="25" w:name="_Toc306525547"/>
    </w:p>
    <w:p w14:paraId="08003655" w14:textId="768BA5FD" w:rsidR="000B2F0D" w:rsidRPr="00B4409D" w:rsidRDefault="000B2F0D" w:rsidP="000B2F0D">
      <w:pPr>
        <w:pStyle w:val="Heading3"/>
        <w:spacing w:after="0"/>
        <w:rPr>
          <w:rFonts w:ascii="Figtree" w:eastAsia="Helvetica" w:hAnsi="Figtree" w:cs="Helvetica"/>
          <w:b/>
          <w:bCs/>
          <w:color w:val="000000" w:themeColor="text1"/>
        </w:rPr>
      </w:pPr>
      <w:r>
        <w:rPr>
          <w:rFonts w:ascii="Figtree" w:eastAsia="Helvetica" w:hAnsi="Figtree" w:cs="Helvetica"/>
          <w:b/>
          <w:bCs/>
          <w:color w:val="77206D" w:themeColor="accent5" w:themeShade="BF"/>
          <w:sz w:val="32"/>
          <w:szCs w:val="32"/>
        </w:rPr>
        <w:t>Political participation and decision-making</w:t>
      </w:r>
    </w:p>
    <w:bookmarkEnd w:id="25"/>
    <w:p w14:paraId="3E46131D" w14:textId="77777777" w:rsidR="00187CF3" w:rsidRPr="00B4409D" w:rsidRDefault="60592233" w:rsidP="228E0351">
      <w:p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Women and girls with disabilities are frequently excluded from democratic processes, advocacy, and leadership roles due to:</w:t>
      </w:r>
    </w:p>
    <w:p w14:paraId="21581C26" w14:textId="77777777" w:rsidR="00187CF3" w:rsidRPr="00B4409D" w:rsidRDefault="60592233" w:rsidP="228E0351">
      <w:pPr>
        <w:numPr>
          <w:ilvl w:val="0"/>
          <w:numId w:val="14"/>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Structural barriers and stigma</w:t>
      </w:r>
    </w:p>
    <w:p w14:paraId="4C3CA4C3" w14:textId="77777777" w:rsidR="00187CF3" w:rsidRPr="00B4409D" w:rsidRDefault="60592233" w:rsidP="228E0351">
      <w:pPr>
        <w:numPr>
          <w:ilvl w:val="0"/>
          <w:numId w:val="14"/>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Paternalism and institutionalisation</w:t>
      </w:r>
    </w:p>
    <w:p w14:paraId="4D89A734" w14:textId="115EEDA9" w:rsidR="00187CF3" w:rsidRPr="00B4409D" w:rsidRDefault="60592233" w:rsidP="228E0351">
      <w:pPr>
        <w:numPr>
          <w:ilvl w:val="0"/>
          <w:numId w:val="14"/>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Lack of accessible voting systems and civic education</w:t>
      </w:r>
      <w:r w:rsidR="1B62CE1A" w:rsidRPr="00B4409D">
        <w:rPr>
          <w:rFonts w:ascii="Figtree" w:eastAsia="Helvetica" w:hAnsi="Figtree" w:cs="Helvetica"/>
          <w:color w:val="000000" w:themeColor="text1"/>
          <w:sz w:val="22"/>
          <w:szCs w:val="22"/>
        </w:rPr>
        <w:t>.</w:t>
      </w:r>
    </w:p>
    <w:p w14:paraId="5A82A7E7" w14:textId="44202E5A" w:rsidR="00187CF3" w:rsidRPr="000B2F0D" w:rsidRDefault="671ADDA1" w:rsidP="00D2461F">
      <w:pPr>
        <w:pStyle w:val="Quote"/>
        <w:rPr>
          <w:rFonts w:ascii="Figtree" w:hAnsi="Figtree"/>
          <w:b/>
          <w:bCs/>
          <w:color w:val="156082" w:themeColor="accent1"/>
        </w:rPr>
      </w:pPr>
      <w:r w:rsidRPr="000B2F0D">
        <w:rPr>
          <w:rFonts w:ascii="Figtree" w:eastAsia="Helvetica" w:hAnsi="Figtree" w:cs="Helvetica"/>
          <w:b/>
          <w:bCs/>
          <w:color w:val="156082" w:themeColor="accent1"/>
          <w:sz w:val="20"/>
          <w:szCs w:val="20"/>
        </w:rPr>
        <w:t>“This exclusion has silenced their voices and rendered invisible their contribution and experiences.”</w:t>
      </w:r>
      <w:r w:rsidR="3281D4E3" w:rsidRPr="000B2F0D">
        <w:rPr>
          <w:rFonts w:ascii="Figtree" w:eastAsia="Helvetica" w:hAnsi="Figtree" w:cs="Helvetica"/>
          <w:b/>
          <w:bCs/>
          <w:color w:val="156082" w:themeColor="accent1"/>
          <w:sz w:val="20"/>
          <w:szCs w:val="20"/>
        </w:rPr>
        <w:t xml:space="preserve"> </w:t>
      </w:r>
      <w:r w:rsidR="00126507" w:rsidRPr="000B2F0D">
        <w:rPr>
          <w:rStyle w:val="EndnoteReference"/>
          <w:rFonts w:ascii="Figtree" w:eastAsia="Helvetica" w:hAnsi="Figtree"/>
          <w:b/>
          <w:bCs/>
          <w:color w:val="156082" w:themeColor="accent1"/>
        </w:rPr>
        <w:endnoteReference w:id="31"/>
      </w:r>
    </w:p>
    <w:p w14:paraId="4C137A7F" w14:textId="77777777" w:rsidR="000B2F0D" w:rsidRDefault="000B2F0D" w:rsidP="00F659D8">
      <w:pPr>
        <w:pStyle w:val="Heading3"/>
        <w:spacing w:before="100" w:beforeAutospacing="1" w:after="0" w:line="300" w:lineRule="atLeast"/>
        <w:rPr>
          <w:rFonts w:ascii="Figtree" w:eastAsia="Helvetica" w:hAnsi="Figtree" w:cs="Helvetica"/>
        </w:rPr>
      </w:pPr>
      <w:bookmarkStart w:id="26" w:name="_Toc1999743459"/>
    </w:p>
    <w:bookmarkEnd w:id="26"/>
    <w:p w14:paraId="3E9BCE09" w14:textId="77777777" w:rsidR="000B2F0D" w:rsidRDefault="000B2F0D" w:rsidP="228E0351">
      <w:pPr>
        <w:spacing w:before="100" w:beforeAutospacing="1" w:after="100" w:afterAutospacing="1" w:line="300" w:lineRule="atLeast"/>
        <w:rPr>
          <w:rFonts w:ascii="Figtree" w:eastAsia="Helvetica" w:hAnsi="Figtree" w:cs="Helvetica"/>
          <w:b/>
          <w:bCs/>
          <w:color w:val="77206D" w:themeColor="accent5" w:themeShade="BF"/>
          <w:sz w:val="32"/>
          <w:szCs w:val="32"/>
        </w:rPr>
      </w:pPr>
      <w:r>
        <w:rPr>
          <w:rFonts w:ascii="Figtree" w:eastAsia="Helvetica" w:hAnsi="Figtree" w:cs="Helvetica"/>
          <w:b/>
          <w:bCs/>
          <w:color w:val="77206D" w:themeColor="accent5" w:themeShade="BF"/>
          <w:sz w:val="32"/>
          <w:szCs w:val="32"/>
        </w:rPr>
        <w:t>Education</w:t>
      </w:r>
    </w:p>
    <w:p w14:paraId="7AEB4855" w14:textId="126D3D13" w:rsidR="00187CF3" w:rsidRPr="00B4409D" w:rsidRDefault="60592233" w:rsidP="228E0351">
      <w:p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Systemic ableism and lack of inclusive policies result in:</w:t>
      </w:r>
    </w:p>
    <w:p w14:paraId="2F42E070" w14:textId="77777777" w:rsidR="00187CF3" w:rsidRPr="00B4409D" w:rsidRDefault="60592233" w:rsidP="228E0351">
      <w:pPr>
        <w:numPr>
          <w:ilvl w:val="0"/>
          <w:numId w:val="15"/>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Discrimination and bullying</w:t>
      </w:r>
    </w:p>
    <w:p w14:paraId="33A8F065" w14:textId="77777777" w:rsidR="00187CF3" w:rsidRPr="00B4409D" w:rsidRDefault="60592233" w:rsidP="228E0351">
      <w:pPr>
        <w:numPr>
          <w:ilvl w:val="0"/>
          <w:numId w:val="15"/>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Higher dropout rates</w:t>
      </w:r>
    </w:p>
    <w:p w14:paraId="731B2602" w14:textId="77777777" w:rsidR="00187CF3" w:rsidRPr="00B4409D" w:rsidRDefault="60592233" w:rsidP="228E0351">
      <w:pPr>
        <w:numPr>
          <w:ilvl w:val="0"/>
          <w:numId w:val="15"/>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Inadequate supports and low expectations</w:t>
      </w:r>
    </w:p>
    <w:p w14:paraId="29409CE7" w14:textId="4E23B4B1" w:rsidR="228E0351" w:rsidRPr="00B4409D" w:rsidRDefault="60592233" w:rsidP="00D2461F">
      <w:pPr>
        <w:numPr>
          <w:ilvl w:val="0"/>
          <w:numId w:val="15"/>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Exclusion from mainstream education</w:t>
      </w:r>
      <w:r w:rsidR="3E4CFC83" w:rsidRPr="00B4409D">
        <w:rPr>
          <w:rFonts w:ascii="Figtree" w:eastAsia="Helvetica" w:hAnsi="Figtree" w:cs="Helvetica"/>
          <w:color w:val="000000" w:themeColor="text1"/>
          <w:sz w:val="22"/>
          <w:szCs w:val="22"/>
        </w:rPr>
        <w:t>.</w:t>
      </w:r>
    </w:p>
    <w:p w14:paraId="19ACB61E" w14:textId="5BCF3E93" w:rsidR="228E0351" w:rsidRPr="000B2F0D" w:rsidRDefault="671ADDA1" w:rsidP="00D2461F">
      <w:pPr>
        <w:spacing w:before="100" w:beforeAutospacing="1" w:after="100" w:afterAutospacing="1"/>
        <w:jc w:val="center"/>
        <w:rPr>
          <w:rFonts w:ascii="Figtree" w:eastAsia="Helvetica" w:hAnsi="Figtree" w:cs="Helvetica"/>
          <w:b/>
          <w:bCs/>
          <w:color w:val="156082" w:themeColor="accent1"/>
          <w:sz w:val="20"/>
          <w:szCs w:val="20"/>
        </w:rPr>
      </w:pPr>
      <w:r w:rsidRPr="000B2F0D">
        <w:rPr>
          <w:rFonts w:ascii="Figtree" w:eastAsia="Helvetica" w:hAnsi="Figtree" w:cs="Helvetica"/>
          <w:b/>
          <w:bCs/>
          <w:color w:val="156082" w:themeColor="accent1"/>
          <w:sz w:val="20"/>
          <w:szCs w:val="20"/>
        </w:rPr>
        <w:t>“</w:t>
      </w:r>
      <w:r w:rsidRPr="000B2F0D">
        <w:rPr>
          <w:rStyle w:val="QuoteChar"/>
          <w:rFonts w:ascii="Figtree" w:eastAsia="Helvetica" w:hAnsi="Figtree" w:cs="Helvetica"/>
          <w:b/>
          <w:bCs/>
          <w:color w:val="156082" w:themeColor="accent1"/>
          <w:sz w:val="20"/>
          <w:szCs w:val="20"/>
        </w:rPr>
        <w:t>Students with disability routinely experience discrimination… entrenched systemic culture of low expectations.”</w:t>
      </w:r>
      <w:r w:rsidR="3281D4E3" w:rsidRPr="000B2F0D">
        <w:rPr>
          <w:rStyle w:val="QuoteChar"/>
          <w:rFonts w:ascii="Figtree" w:eastAsia="Helvetica" w:hAnsi="Figtree" w:cs="Helvetica"/>
          <w:b/>
          <w:bCs/>
          <w:color w:val="156082" w:themeColor="accent1"/>
          <w:sz w:val="20"/>
          <w:szCs w:val="20"/>
        </w:rPr>
        <w:t xml:space="preserve"> </w:t>
      </w:r>
      <w:r w:rsidR="001376BC" w:rsidRPr="000B2F0D">
        <w:rPr>
          <w:rStyle w:val="EndnoteReference"/>
          <w:rFonts w:ascii="Figtree" w:eastAsia="Helvetica" w:hAnsi="Figtree"/>
          <w:b/>
          <w:bCs/>
          <w:color w:val="156082" w:themeColor="accent1"/>
        </w:rPr>
        <w:endnoteReference w:id="32"/>
      </w:r>
    </w:p>
    <w:p w14:paraId="4B0E7A63" w14:textId="171C9C41" w:rsidR="00187CF3" w:rsidRDefault="60592233" w:rsidP="228E0351">
      <w:p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These issues are compounded for Indigenous students, migrants, and those from C</w:t>
      </w:r>
      <w:r w:rsidR="00FA00AB" w:rsidRPr="00B4409D">
        <w:rPr>
          <w:rFonts w:ascii="Figtree" w:eastAsia="Helvetica" w:hAnsi="Figtree" w:cs="Helvetica"/>
          <w:color w:val="000000" w:themeColor="text1"/>
          <w:sz w:val="22"/>
          <w:szCs w:val="22"/>
        </w:rPr>
        <w:t>ALD</w:t>
      </w:r>
      <w:r w:rsidRPr="00B4409D">
        <w:rPr>
          <w:rFonts w:ascii="Figtree" w:eastAsia="Helvetica" w:hAnsi="Figtree" w:cs="Helvetica"/>
          <w:color w:val="000000" w:themeColor="text1"/>
          <w:sz w:val="22"/>
          <w:szCs w:val="22"/>
        </w:rPr>
        <w:t xml:space="preserve"> backgrounds.</w:t>
      </w:r>
      <w:r w:rsidR="004423D1" w:rsidRPr="004423D1">
        <w:rPr>
          <w:rFonts w:ascii="Figtree" w:eastAsia="Helvetica" w:hAnsi="Figtree" w:cs="Helvetica"/>
          <w:color w:val="000000" w:themeColor="text1"/>
          <w:sz w:val="22"/>
          <w:szCs w:val="22"/>
        </w:rPr>
        <w:t xml:space="preserve"> </w:t>
      </w:r>
      <w:r w:rsidR="00163918">
        <w:rPr>
          <w:rFonts w:ascii="Figtree" w:eastAsia="Helvetica" w:hAnsi="Figtree" w:cs="Helvetica"/>
          <w:color w:val="000000" w:themeColor="text1"/>
          <w:sz w:val="22"/>
          <w:szCs w:val="22"/>
        </w:rPr>
        <w:t>E</w:t>
      </w:r>
      <w:r w:rsidR="004423D1">
        <w:rPr>
          <w:rFonts w:ascii="Figtree" w:eastAsia="Helvetica" w:hAnsi="Figtree" w:cs="Helvetica"/>
          <w:color w:val="000000" w:themeColor="text1"/>
          <w:sz w:val="22"/>
          <w:szCs w:val="22"/>
        </w:rPr>
        <w:t xml:space="preserve">xperiences of discrimination, bullying, inadequate supports and exclusion </w:t>
      </w:r>
      <w:r w:rsidR="00A04F26">
        <w:rPr>
          <w:rFonts w:ascii="Figtree" w:eastAsia="Helvetica" w:hAnsi="Figtree" w:cs="Helvetica"/>
          <w:color w:val="000000" w:themeColor="text1"/>
          <w:sz w:val="22"/>
          <w:szCs w:val="22"/>
        </w:rPr>
        <w:t xml:space="preserve">from mainstream primary and secondary schools leads to </w:t>
      </w:r>
      <w:r w:rsidR="004423D1">
        <w:rPr>
          <w:rFonts w:ascii="Figtree" w:eastAsia="Helvetica" w:hAnsi="Figtree" w:cs="Helvetica"/>
          <w:color w:val="000000" w:themeColor="text1"/>
          <w:sz w:val="22"/>
          <w:szCs w:val="22"/>
        </w:rPr>
        <w:t>low</w:t>
      </w:r>
      <w:r w:rsidR="003B4D52">
        <w:rPr>
          <w:rFonts w:ascii="Figtree" w:eastAsia="Helvetica" w:hAnsi="Figtree" w:cs="Helvetica"/>
          <w:color w:val="000000" w:themeColor="text1"/>
          <w:sz w:val="22"/>
          <w:szCs w:val="22"/>
        </w:rPr>
        <w:t>er</w:t>
      </w:r>
      <w:r w:rsidR="004423D1">
        <w:rPr>
          <w:rFonts w:ascii="Figtree" w:eastAsia="Helvetica" w:hAnsi="Figtree" w:cs="Helvetica"/>
          <w:color w:val="000000" w:themeColor="text1"/>
          <w:sz w:val="22"/>
          <w:szCs w:val="22"/>
        </w:rPr>
        <w:t xml:space="preserve"> levels of </w:t>
      </w:r>
      <w:r w:rsidR="00A04F26">
        <w:rPr>
          <w:rFonts w:ascii="Figtree" w:eastAsia="Helvetica" w:hAnsi="Figtree" w:cs="Helvetica"/>
          <w:color w:val="000000" w:themeColor="text1"/>
          <w:sz w:val="22"/>
          <w:szCs w:val="22"/>
        </w:rPr>
        <w:t xml:space="preserve">participation in higher education. </w:t>
      </w:r>
    </w:p>
    <w:p w14:paraId="17F113EF" w14:textId="77777777" w:rsidR="00A04F26" w:rsidRPr="000C4149" w:rsidRDefault="00A04F26" w:rsidP="228E0351">
      <w:pPr>
        <w:spacing w:before="100" w:beforeAutospacing="1" w:after="100" w:afterAutospacing="1" w:line="300" w:lineRule="atLeast"/>
        <w:rPr>
          <w:rFonts w:ascii="Figtree" w:eastAsia="Helvetica" w:hAnsi="Figtree" w:cs="Helvetica"/>
          <w:color w:val="000000" w:themeColor="text1"/>
          <w:sz w:val="28"/>
          <w:szCs w:val="28"/>
        </w:rPr>
      </w:pPr>
    </w:p>
    <w:p w14:paraId="0F7FD209" w14:textId="3771501D" w:rsidR="000B2F0D" w:rsidRDefault="000B2F0D" w:rsidP="000B2F0D">
      <w:pPr>
        <w:spacing w:before="100" w:beforeAutospacing="1" w:after="100" w:afterAutospacing="1" w:line="300" w:lineRule="atLeast"/>
        <w:rPr>
          <w:rFonts w:ascii="Figtree" w:eastAsia="Helvetica" w:hAnsi="Figtree" w:cs="Helvetica"/>
          <w:b/>
          <w:bCs/>
          <w:color w:val="77206D" w:themeColor="accent5" w:themeShade="BF"/>
          <w:sz w:val="32"/>
          <w:szCs w:val="32"/>
        </w:rPr>
      </w:pPr>
      <w:bookmarkStart w:id="27" w:name="_Toc1428991985"/>
      <w:r>
        <w:rPr>
          <w:rFonts w:ascii="Figtree" w:eastAsia="Helvetica" w:hAnsi="Figtree" w:cs="Helvetica"/>
          <w:b/>
          <w:bCs/>
          <w:color w:val="77206D" w:themeColor="accent5" w:themeShade="BF"/>
          <w:sz w:val="32"/>
          <w:szCs w:val="32"/>
        </w:rPr>
        <w:t>Health and sexual/reproductive rights</w:t>
      </w:r>
    </w:p>
    <w:bookmarkEnd w:id="27"/>
    <w:p w14:paraId="3630BBA9" w14:textId="77777777" w:rsidR="00187CF3" w:rsidRPr="00B4409D" w:rsidRDefault="60592233" w:rsidP="228E0351">
      <w:p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Women and girls with disabilities face:</w:t>
      </w:r>
    </w:p>
    <w:p w14:paraId="069C2288" w14:textId="77777777" w:rsidR="00187CF3" w:rsidRPr="00B4409D" w:rsidRDefault="60592233" w:rsidP="228E0351">
      <w:pPr>
        <w:numPr>
          <w:ilvl w:val="0"/>
          <w:numId w:val="16"/>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Barriers to accessible, quality healthcare</w:t>
      </w:r>
    </w:p>
    <w:p w14:paraId="2EE5709B" w14:textId="77777777" w:rsidR="00187CF3" w:rsidRPr="00B4409D" w:rsidRDefault="60592233" w:rsidP="228E0351">
      <w:pPr>
        <w:numPr>
          <w:ilvl w:val="0"/>
          <w:numId w:val="16"/>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Forced or coerced medical interventions</w:t>
      </w:r>
    </w:p>
    <w:p w14:paraId="331DC2CD" w14:textId="77777777" w:rsidR="00187CF3" w:rsidRPr="00B4409D" w:rsidRDefault="60592233" w:rsidP="228E0351">
      <w:pPr>
        <w:numPr>
          <w:ilvl w:val="0"/>
          <w:numId w:val="16"/>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Lack of autonomy in reproductive decisions</w:t>
      </w:r>
    </w:p>
    <w:p w14:paraId="17C6F9CF" w14:textId="77777777" w:rsidR="00187CF3" w:rsidRPr="00B4409D" w:rsidRDefault="60592233" w:rsidP="228E0351">
      <w:pPr>
        <w:numPr>
          <w:ilvl w:val="0"/>
          <w:numId w:val="16"/>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Invisibility in sexual health education and services</w:t>
      </w:r>
    </w:p>
    <w:p w14:paraId="528ED2B1" w14:textId="73468AA8" w:rsidR="228E0351" w:rsidRPr="000B2F0D" w:rsidRDefault="671ADDA1" w:rsidP="00D2461F">
      <w:pPr>
        <w:pStyle w:val="Quote"/>
        <w:rPr>
          <w:rFonts w:ascii="Figtree" w:eastAsia="Helvetica" w:hAnsi="Figtree" w:cs="Helvetica"/>
          <w:b/>
          <w:bCs/>
          <w:color w:val="156082" w:themeColor="accent1"/>
          <w:sz w:val="20"/>
          <w:szCs w:val="20"/>
        </w:rPr>
      </w:pPr>
      <w:r w:rsidRPr="000B2F0D">
        <w:rPr>
          <w:rFonts w:ascii="Figtree" w:eastAsia="Helvetica" w:hAnsi="Figtree" w:cs="Helvetica"/>
          <w:b/>
          <w:bCs/>
          <w:color w:val="156082" w:themeColor="accent1"/>
          <w:sz w:val="20"/>
          <w:szCs w:val="20"/>
        </w:rPr>
        <w:t>Trans and intersex people with disability are particularly vulnerable to reproductive violence, including non-consensual sterilisation and denial of gender-affirming care</w:t>
      </w:r>
      <w:r w:rsidR="42C9F4D3" w:rsidRPr="000B2F0D">
        <w:rPr>
          <w:rFonts w:ascii="Figtree" w:eastAsia="Helvetica" w:hAnsi="Figtree" w:cs="Helvetica"/>
          <w:b/>
          <w:bCs/>
          <w:color w:val="156082" w:themeColor="accent1"/>
          <w:sz w:val="20"/>
          <w:szCs w:val="20"/>
        </w:rPr>
        <w:t>.</w:t>
      </w:r>
      <w:r w:rsidR="3281D4E3" w:rsidRPr="000B2F0D">
        <w:rPr>
          <w:rFonts w:ascii="Figtree" w:eastAsia="Helvetica" w:hAnsi="Figtree" w:cs="Helvetica"/>
          <w:b/>
          <w:bCs/>
          <w:color w:val="156082" w:themeColor="accent1"/>
          <w:sz w:val="20"/>
          <w:szCs w:val="20"/>
        </w:rPr>
        <w:t xml:space="preserve"> </w:t>
      </w:r>
      <w:r w:rsidR="001376BC" w:rsidRPr="000B2F0D">
        <w:rPr>
          <w:rStyle w:val="EndnoteReference"/>
          <w:rFonts w:ascii="Figtree" w:eastAsia="Helvetica" w:hAnsi="Figtree"/>
          <w:b/>
          <w:bCs/>
          <w:color w:val="156082" w:themeColor="accent1"/>
        </w:rPr>
        <w:endnoteReference w:id="33"/>
      </w:r>
    </w:p>
    <w:p w14:paraId="28A8A09D" w14:textId="160522B4" w:rsidR="00187CF3" w:rsidRDefault="481AF7C6" w:rsidP="1FF1FC75">
      <w:pPr>
        <w:spacing w:before="100" w:beforeAutospacing="1" w:after="100" w:afterAutospacing="1" w:line="300" w:lineRule="atLeast"/>
        <w:rPr>
          <w:rFonts w:ascii="Figtree" w:eastAsia="Helvetica" w:hAnsi="Figtree" w:cs="Helvetica"/>
          <w:sz w:val="22"/>
          <w:szCs w:val="22"/>
        </w:rPr>
      </w:pPr>
      <w:r w:rsidRPr="00B4409D">
        <w:rPr>
          <w:rFonts w:ascii="Figtree" w:eastAsia="Helvetica" w:hAnsi="Figtree" w:cs="Helvetica"/>
          <w:sz w:val="22"/>
          <w:szCs w:val="22"/>
        </w:rPr>
        <w:t>LGBTQIA+ people with disabilities face significant barriers to healthcare, often due to discriminatory attitudes and a lack of understanding from healthcare providers. These barriers include misgendering, denial of gender-affirming care, and exclusion from services, which can lead to inadequate and inappropriate medical treatment. Trans and gender-diverse</w:t>
      </w:r>
      <w:r w:rsidR="293559CA" w:rsidRPr="00B4409D">
        <w:rPr>
          <w:rFonts w:ascii="Figtree" w:eastAsia="Helvetica" w:hAnsi="Figtree" w:cs="Helvetica"/>
          <w:sz w:val="22"/>
          <w:szCs w:val="22"/>
        </w:rPr>
        <w:t xml:space="preserve"> </w:t>
      </w:r>
      <w:r w:rsidRPr="00B4409D">
        <w:rPr>
          <w:rFonts w:ascii="Figtree" w:eastAsia="Helvetica" w:hAnsi="Figtree" w:cs="Helvetica"/>
          <w:sz w:val="22"/>
          <w:szCs w:val="22"/>
        </w:rPr>
        <w:t xml:space="preserve">people with disabilities experience disproportionate </w:t>
      </w:r>
      <w:r w:rsidR="30C8EE54" w:rsidRPr="00B4409D">
        <w:rPr>
          <w:rFonts w:ascii="Figtree" w:eastAsia="Helvetica" w:hAnsi="Figtree" w:cs="Helvetica"/>
          <w:sz w:val="22"/>
          <w:szCs w:val="22"/>
        </w:rPr>
        <w:t>harm in</w:t>
      </w:r>
      <w:r w:rsidRPr="00B4409D">
        <w:rPr>
          <w:rFonts w:ascii="Figtree" w:eastAsia="Helvetica" w:hAnsi="Figtree" w:cs="Helvetica"/>
          <w:sz w:val="22"/>
          <w:szCs w:val="22"/>
        </w:rPr>
        <w:t xml:space="preserve"> institutional settings, where they may experience heightened rates of violence and neglect.</w:t>
      </w:r>
    </w:p>
    <w:p w14:paraId="40704C22" w14:textId="77777777" w:rsidR="000B2F0D" w:rsidRPr="00B4409D" w:rsidRDefault="000B2F0D" w:rsidP="1FF1FC75">
      <w:pPr>
        <w:spacing w:before="100" w:beforeAutospacing="1" w:after="100" w:afterAutospacing="1" w:line="300" w:lineRule="atLeast"/>
        <w:rPr>
          <w:rFonts w:ascii="Figtree" w:eastAsia="Helvetica" w:hAnsi="Figtree" w:cs="Helvetica"/>
          <w:color w:val="000000" w:themeColor="text1"/>
          <w:sz w:val="22"/>
          <w:szCs w:val="22"/>
        </w:rPr>
      </w:pPr>
    </w:p>
    <w:p w14:paraId="6C99BFDE" w14:textId="677FB021" w:rsidR="00187CF3" w:rsidRPr="00B4409D" w:rsidRDefault="000B2F0D" w:rsidP="00F659D8">
      <w:pPr>
        <w:pStyle w:val="Heading3"/>
        <w:spacing w:after="0"/>
        <w:rPr>
          <w:rFonts w:ascii="Figtree" w:eastAsia="Helvetica" w:hAnsi="Figtree" w:cs="Helvetica"/>
          <w:b/>
          <w:bCs/>
          <w:color w:val="000000" w:themeColor="text1"/>
          <w:sz w:val="27"/>
          <w:szCs w:val="27"/>
        </w:rPr>
      </w:pPr>
      <w:bookmarkStart w:id="28" w:name="_Toc417684801"/>
      <w:r>
        <w:rPr>
          <w:rFonts w:ascii="Figtree" w:eastAsia="Helvetica" w:hAnsi="Figtree" w:cs="Helvetica"/>
          <w:b/>
          <w:bCs/>
          <w:color w:val="77206D" w:themeColor="accent5" w:themeShade="BF"/>
          <w:sz w:val="32"/>
          <w:szCs w:val="32"/>
        </w:rPr>
        <w:lastRenderedPageBreak/>
        <w:t xml:space="preserve">CRPD alignment </w:t>
      </w:r>
      <w:bookmarkEnd w:id="28"/>
    </w:p>
    <w:p w14:paraId="61628D2D" w14:textId="63A5FBBA" w:rsidR="00187CF3" w:rsidRPr="00B4409D" w:rsidRDefault="481AF7C6" w:rsidP="481AF7C6">
      <w:p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These exclusions violate multiple articles of the CRPD, including Articles:</w:t>
      </w:r>
    </w:p>
    <w:p w14:paraId="1CCED5FC" w14:textId="31CCB3A0" w:rsidR="00187CF3" w:rsidRPr="00B4409D" w:rsidRDefault="481AF7C6" w:rsidP="481AF7C6">
      <w:pPr>
        <w:numPr>
          <w:ilvl w:val="0"/>
          <w:numId w:val="17"/>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 xml:space="preserve">5 –Equality and non-discrimination </w:t>
      </w:r>
    </w:p>
    <w:p w14:paraId="45F3E7D5" w14:textId="51187882" w:rsidR="00187CF3" w:rsidRPr="00B4409D" w:rsidRDefault="481AF7C6" w:rsidP="481AF7C6">
      <w:pPr>
        <w:numPr>
          <w:ilvl w:val="0"/>
          <w:numId w:val="17"/>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 xml:space="preserve">6 – Women with disabilities </w:t>
      </w:r>
    </w:p>
    <w:p w14:paraId="3911B491" w14:textId="2B20446A" w:rsidR="00187CF3" w:rsidRPr="00B4409D" w:rsidRDefault="481AF7C6" w:rsidP="481AF7C6">
      <w:pPr>
        <w:numPr>
          <w:ilvl w:val="0"/>
          <w:numId w:val="17"/>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 xml:space="preserve">24 – Education </w:t>
      </w:r>
    </w:p>
    <w:p w14:paraId="7748DE83" w14:textId="06DFF4B6" w:rsidR="00187CF3" w:rsidRPr="00B4409D" w:rsidRDefault="481AF7C6" w:rsidP="481AF7C6">
      <w:pPr>
        <w:numPr>
          <w:ilvl w:val="0"/>
          <w:numId w:val="17"/>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 xml:space="preserve">25 – Health </w:t>
      </w:r>
    </w:p>
    <w:p w14:paraId="418D3E80" w14:textId="0DFA2E1B" w:rsidR="00187CF3" w:rsidRPr="00B4409D" w:rsidRDefault="481AF7C6" w:rsidP="481AF7C6">
      <w:pPr>
        <w:numPr>
          <w:ilvl w:val="0"/>
          <w:numId w:val="17"/>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 xml:space="preserve">27 – Work and employment </w:t>
      </w:r>
    </w:p>
    <w:p w14:paraId="62A39887" w14:textId="2D0FC8EB" w:rsidR="00187CF3" w:rsidRPr="00B4409D" w:rsidRDefault="481AF7C6" w:rsidP="481AF7C6">
      <w:pPr>
        <w:numPr>
          <w:ilvl w:val="0"/>
          <w:numId w:val="17"/>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29 – Participation in political and public life</w:t>
      </w:r>
    </w:p>
    <w:p w14:paraId="4B56162B" w14:textId="772E5C7D" w:rsidR="001376BC" w:rsidRDefault="6E52703F" w:rsidP="00542787">
      <w:p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They also reflect the concerns raised in General Comment No. 3 (violence and abuse) and General Comment No. 6 (intersectional discrimination).</w:t>
      </w:r>
    </w:p>
    <w:p w14:paraId="6125DFAC" w14:textId="77777777" w:rsidR="000B2F0D" w:rsidRPr="00B4409D" w:rsidRDefault="000B2F0D" w:rsidP="00542787">
      <w:pPr>
        <w:spacing w:before="100" w:beforeAutospacing="1" w:after="100" w:afterAutospacing="1" w:line="300" w:lineRule="atLeast"/>
        <w:rPr>
          <w:rStyle w:val="normaltextrun"/>
          <w:rFonts w:ascii="Figtree" w:eastAsia="Helvetica" w:hAnsi="Figtree" w:cs="Helvetica"/>
          <w:color w:val="000000" w:themeColor="text1"/>
          <w:sz w:val="22"/>
          <w:szCs w:val="22"/>
        </w:rPr>
      </w:pPr>
    </w:p>
    <w:p w14:paraId="4EF0A8EC" w14:textId="0F6B2A0B" w:rsidR="228E0351" w:rsidRDefault="293559CA" w:rsidP="00D2461F">
      <w:pPr>
        <w:pStyle w:val="Heading2"/>
        <w:numPr>
          <w:ilvl w:val="0"/>
          <w:numId w:val="3"/>
        </w:numPr>
        <w:rPr>
          <w:rFonts w:ascii="Figtree" w:eastAsia="Helvetica" w:hAnsi="Figtree" w:cs="Helvetica"/>
        </w:rPr>
      </w:pPr>
      <w:bookmarkStart w:id="29" w:name="_Toc2082027526"/>
      <w:r w:rsidRPr="00B4409D">
        <w:rPr>
          <w:rFonts w:ascii="Figtree" w:eastAsia="Helvetica" w:hAnsi="Figtree" w:cs="Helvetica"/>
        </w:rPr>
        <w:t>Indicate which remedies are available to women and girls with disabilities facing multiple and intersecting forms of discrimination. Are these remedies accessible, available, and effective?</w:t>
      </w:r>
      <w:bookmarkEnd w:id="29"/>
      <w:r w:rsidRPr="00B4409D">
        <w:rPr>
          <w:rFonts w:ascii="Figtree" w:eastAsia="Helvetica" w:hAnsi="Figtree" w:cs="Helvetica"/>
        </w:rPr>
        <w:t> </w:t>
      </w:r>
    </w:p>
    <w:p w14:paraId="529F290C" w14:textId="77777777" w:rsidR="000B2F0D" w:rsidRPr="000B2F0D" w:rsidRDefault="000B2F0D" w:rsidP="000B2F0D">
      <w:pPr>
        <w:rPr>
          <w:rFonts w:eastAsia="Helvetica"/>
        </w:rPr>
      </w:pPr>
    </w:p>
    <w:p w14:paraId="7474AB4C" w14:textId="09E6EA74" w:rsidR="228E0351" w:rsidRDefault="481AF7C6" w:rsidP="1FF1FC75">
      <w:pPr>
        <w:spacing w:before="100" w:beforeAutospacing="1" w:after="240"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Women and girls with disabilities in Australia face significant barriers to accessing justice and remedies for discrimination and rights violations</w:t>
      </w:r>
      <w:r w:rsidR="4058822F" w:rsidRPr="00B4409D">
        <w:rPr>
          <w:rFonts w:ascii="Figtree" w:eastAsia="Helvetica" w:hAnsi="Figtree" w:cs="Helvetica"/>
          <w:color w:val="000000" w:themeColor="text1"/>
          <w:sz w:val="22"/>
          <w:szCs w:val="22"/>
        </w:rPr>
        <w:t>.</w:t>
      </w:r>
      <w:r w:rsidRPr="00B4409D">
        <w:rPr>
          <w:rFonts w:ascii="Figtree" w:eastAsia="Helvetica" w:hAnsi="Figtree" w:cs="Helvetica"/>
          <w:color w:val="000000" w:themeColor="text1"/>
          <w:sz w:val="22"/>
          <w:szCs w:val="22"/>
        </w:rPr>
        <w:t xml:space="preserve"> While legal frameworks such as the DDA and state-based anti-discrimination laws provide formal avenues for redress, these mechanisms are often inaccessible, ineffective, and ill-equipped to respond to intersectional experiences.</w:t>
      </w:r>
    </w:p>
    <w:p w14:paraId="129A7CF6" w14:textId="77777777" w:rsidR="000B2F0D" w:rsidRPr="00B4409D" w:rsidRDefault="000B2F0D" w:rsidP="1FF1FC75">
      <w:pPr>
        <w:spacing w:before="100" w:beforeAutospacing="1" w:after="240" w:line="300" w:lineRule="atLeast"/>
        <w:rPr>
          <w:rFonts w:ascii="Figtree" w:eastAsia="Helvetica" w:hAnsi="Figtree" w:cs="Helvetica"/>
          <w:color w:val="000000" w:themeColor="text1"/>
          <w:sz w:val="22"/>
          <w:szCs w:val="22"/>
        </w:rPr>
      </w:pPr>
    </w:p>
    <w:p w14:paraId="43FB83BD" w14:textId="434170DC" w:rsidR="470F2CEF" w:rsidRPr="00B4409D" w:rsidRDefault="000B2F0D" w:rsidP="00F659D8">
      <w:pPr>
        <w:pStyle w:val="Heading3"/>
        <w:spacing w:before="0" w:after="0" w:line="300" w:lineRule="atLeast"/>
        <w:rPr>
          <w:rFonts w:ascii="Figtree" w:eastAsia="Helvetica" w:hAnsi="Figtree" w:cs="Helvetica"/>
          <w:b/>
          <w:bCs/>
          <w:color w:val="000000" w:themeColor="text1"/>
        </w:rPr>
      </w:pPr>
      <w:bookmarkStart w:id="30" w:name="_Toc1187076167"/>
      <w:r>
        <w:rPr>
          <w:rFonts w:ascii="Figtree" w:eastAsia="Helvetica" w:hAnsi="Figtree" w:cs="Helvetica"/>
          <w:b/>
          <w:bCs/>
          <w:color w:val="77206D" w:themeColor="accent5" w:themeShade="BF"/>
          <w:sz w:val="32"/>
          <w:szCs w:val="32"/>
        </w:rPr>
        <w:t xml:space="preserve">Legal and policy remedies: gaps and limitations </w:t>
      </w:r>
      <w:bookmarkEnd w:id="30"/>
    </w:p>
    <w:p w14:paraId="1CE1DA95" w14:textId="77777777" w:rsidR="00214FD6" w:rsidRPr="00B4409D" w:rsidRDefault="470F2CEF" w:rsidP="228E0351">
      <w:p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Existing remedies are frequently undermined by:</w:t>
      </w:r>
    </w:p>
    <w:p w14:paraId="1F8B55A1" w14:textId="77D6FC03" w:rsidR="00214FD6" w:rsidRPr="00B4409D" w:rsidRDefault="481AF7C6" w:rsidP="1FF1FC75">
      <w:pPr>
        <w:numPr>
          <w:ilvl w:val="0"/>
          <w:numId w:val="18"/>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 xml:space="preserve">Complex complaint processes that are difficult to navigate without legal support and finances. </w:t>
      </w:r>
      <w:r w:rsidRPr="00B4409D">
        <w:rPr>
          <w:rFonts w:ascii="Figtree" w:eastAsia="Helvetica" w:hAnsi="Figtree" w:cs="Helvetica"/>
          <w:color w:val="242424"/>
          <w:sz w:val="22"/>
          <w:szCs w:val="22"/>
        </w:rPr>
        <w:t xml:space="preserve">The lack of supported decision-making mechanisms for people with disabilities is a significant barrier to their autonomy and inclusion. Article 12 of the CRPD </w:t>
      </w:r>
      <w:r w:rsidR="4058822F" w:rsidRPr="00B4409D">
        <w:rPr>
          <w:rFonts w:ascii="Figtree" w:eastAsia="Helvetica" w:hAnsi="Figtree" w:cs="Helvetica"/>
          <w:color w:val="242424"/>
          <w:sz w:val="22"/>
          <w:szCs w:val="22"/>
        </w:rPr>
        <w:t>emphasises</w:t>
      </w:r>
      <w:r w:rsidRPr="00B4409D">
        <w:rPr>
          <w:rFonts w:ascii="Figtree" w:eastAsia="Helvetica" w:hAnsi="Figtree" w:cs="Helvetica"/>
          <w:color w:val="242424"/>
          <w:sz w:val="22"/>
          <w:szCs w:val="22"/>
        </w:rPr>
        <w:t xml:space="preserve"> the right of individuals with disabilities to make their own decisions and have access to the necessary support to do so. However, in practice, many people with disabilities are denied this right, facing substituted decision-making arrangements that undermine their legal capacity and self-determination. </w:t>
      </w:r>
    </w:p>
    <w:p w14:paraId="3F60D09D" w14:textId="77777777" w:rsidR="00214FD6" w:rsidRPr="00B4409D" w:rsidRDefault="470F2CEF" w:rsidP="228E0351">
      <w:pPr>
        <w:numPr>
          <w:ilvl w:val="0"/>
          <w:numId w:val="18"/>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Credibility bias and discriminatory attitudes within justice systems</w:t>
      </w:r>
    </w:p>
    <w:p w14:paraId="002FE9AF" w14:textId="77777777" w:rsidR="00214FD6" w:rsidRPr="00B4409D" w:rsidRDefault="470F2CEF" w:rsidP="228E0351">
      <w:pPr>
        <w:numPr>
          <w:ilvl w:val="0"/>
          <w:numId w:val="18"/>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Lack of trauma-informed, culturally safe, and gender-affirming approaches</w:t>
      </w:r>
    </w:p>
    <w:p w14:paraId="00621340" w14:textId="6631A9D4" w:rsidR="228E0351" w:rsidRPr="00B4409D" w:rsidRDefault="470F2CEF" w:rsidP="228E0351">
      <w:pPr>
        <w:numPr>
          <w:ilvl w:val="0"/>
          <w:numId w:val="18"/>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lastRenderedPageBreak/>
        <w:t>Inadequate recognition of intersectional discrimination in law and practice</w:t>
      </w:r>
      <w:r w:rsidR="70FC04BA" w:rsidRPr="00B4409D">
        <w:rPr>
          <w:rFonts w:ascii="Figtree" w:eastAsia="Helvetica" w:hAnsi="Figtree" w:cs="Helvetica"/>
          <w:color w:val="000000" w:themeColor="text1"/>
          <w:sz w:val="22"/>
          <w:szCs w:val="22"/>
        </w:rPr>
        <w:t>.</w:t>
      </w:r>
    </w:p>
    <w:p w14:paraId="69BB9F04" w14:textId="0B708383" w:rsidR="228E0351" w:rsidRPr="00B4409D" w:rsidRDefault="293559CA" w:rsidP="481AF7C6">
      <w:p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As WWDA has consistently highlighted, current systems fail to account for the lived realities of women, girls, and gender-diverse people with disabilities—especially those who are Indigenous, LGBTQIA+, migrants, or from culturally and linguistically diverse backgrounds.</w:t>
      </w:r>
      <w:r w:rsidR="470F2CEF" w:rsidRPr="00B4409D">
        <w:rPr>
          <w:rStyle w:val="EndnoteReference"/>
          <w:rFonts w:ascii="Figtree" w:eastAsia="Helvetica" w:hAnsi="Figtree" w:cs="Helvetica"/>
          <w:color w:val="000000" w:themeColor="text1"/>
          <w:sz w:val="22"/>
          <w:szCs w:val="22"/>
        </w:rPr>
        <w:endnoteReference w:id="34"/>
      </w:r>
    </w:p>
    <w:p w14:paraId="56BADE0D" w14:textId="3F367175" w:rsidR="470F2CEF" w:rsidRDefault="293559CA" w:rsidP="6E52703F">
      <w:pPr>
        <w:spacing w:beforeAutospacing="1"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For trans and gender-diverse people with disability, legal remedies are often inaccessible due to fear of stigma, prior harm within legal and medical systems, and lack of recognition of their identities. The UN Independent Expert on Sexual Orientation and Gender Identity has called for remedies that are inclusive, participatory, and affirming of diverse experiences.</w:t>
      </w:r>
      <w:r w:rsidR="470F2CEF" w:rsidRPr="00B4409D">
        <w:rPr>
          <w:rStyle w:val="EndnoteReference"/>
          <w:rFonts w:ascii="Figtree" w:eastAsia="Helvetica" w:hAnsi="Figtree" w:cs="Helvetica"/>
          <w:sz w:val="22"/>
          <w:szCs w:val="22"/>
        </w:rPr>
        <w:endnoteReference w:id="35"/>
      </w:r>
    </w:p>
    <w:p w14:paraId="762DC447" w14:textId="77777777" w:rsidR="000B2F0D" w:rsidRPr="00B4409D" w:rsidRDefault="000B2F0D" w:rsidP="6E52703F">
      <w:pPr>
        <w:spacing w:beforeAutospacing="1" w:afterAutospacing="1" w:line="300" w:lineRule="atLeast"/>
        <w:rPr>
          <w:rFonts w:ascii="Figtree" w:eastAsia="Helvetica" w:hAnsi="Figtree" w:cs="Helvetica"/>
          <w:sz w:val="22"/>
          <w:szCs w:val="22"/>
        </w:rPr>
      </w:pPr>
    </w:p>
    <w:p w14:paraId="23393952" w14:textId="33449AFC" w:rsidR="00214FD6" w:rsidRPr="00B4409D" w:rsidRDefault="006A70C9" w:rsidP="00F659D8">
      <w:pPr>
        <w:pStyle w:val="Heading3"/>
        <w:spacing w:after="0"/>
        <w:rPr>
          <w:rFonts w:ascii="Figtree" w:eastAsia="Helvetica" w:hAnsi="Figtree" w:cs="Helvetica"/>
        </w:rPr>
      </w:pPr>
      <w:bookmarkStart w:id="31" w:name="_Toc1076107014"/>
      <w:r>
        <w:rPr>
          <w:rFonts w:ascii="Figtree" w:eastAsia="Helvetica" w:hAnsi="Figtree" w:cs="Helvetica"/>
          <w:b/>
          <w:bCs/>
          <w:color w:val="77206D" w:themeColor="accent5" w:themeShade="BF"/>
          <w:sz w:val="32"/>
          <w:szCs w:val="32"/>
        </w:rPr>
        <w:t xml:space="preserve">Redress for violence </w:t>
      </w:r>
      <w:bookmarkEnd w:id="31"/>
    </w:p>
    <w:p w14:paraId="00614DAB" w14:textId="28F9B8C9" w:rsidR="470F2CEF" w:rsidRPr="00B4409D" w:rsidRDefault="293559CA" w:rsidP="6E52703F">
      <w:pPr>
        <w:spacing w:beforeAutospacing="1" w:afterAutospacing="1" w:line="300" w:lineRule="atLeast"/>
        <w:rPr>
          <w:rFonts w:ascii="Figtree" w:eastAsia="Helvetica" w:hAnsi="Figtree" w:cs="Helvetica"/>
          <w:sz w:val="22"/>
          <w:szCs w:val="22"/>
        </w:rPr>
      </w:pPr>
      <w:r w:rsidRPr="00B4409D">
        <w:rPr>
          <w:rFonts w:ascii="Figtree" w:eastAsia="Helvetica" w:hAnsi="Figtree" w:cs="Helvetica"/>
          <w:color w:val="000000" w:themeColor="text1"/>
          <w:sz w:val="22"/>
          <w:szCs w:val="22"/>
        </w:rPr>
        <w:t xml:space="preserve">WWDA’s briefing paper </w:t>
      </w:r>
      <w:r w:rsidRPr="00B4409D">
        <w:rPr>
          <w:rFonts w:ascii="Figtree" w:eastAsia="Helvetica" w:hAnsi="Figtree" w:cs="Helvetica"/>
          <w:i/>
          <w:iCs/>
          <w:color w:val="000000" w:themeColor="text1"/>
          <w:sz w:val="22"/>
          <w:szCs w:val="22"/>
        </w:rPr>
        <w:t>Redressing Reproductive Violence Against Women with Disability</w:t>
      </w:r>
      <w:r w:rsidRPr="00B4409D">
        <w:rPr>
          <w:rFonts w:ascii="Figtree" w:eastAsia="Helvetica" w:hAnsi="Figtree" w:cs="Helvetica"/>
          <w:color w:val="000000" w:themeColor="text1"/>
          <w:sz w:val="22"/>
          <w:szCs w:val="22"/>
        </w:rPr>
        <w:t xml:space="preserve"> calls for a dedicated redress scheme following the findings of the Disability Royal Commission. This scheme must be designed and led by women with disability, grounded in a human rights framework, and responsive to the specific harms of forced sterilisation, reproductive coercion, and denial of bodily autonomy.</w:t>
      </w:r>
      <w:r w:rsidR="470F2CEF" w:rsidRPr="00B4409D">
        <w:rPr>
          <w:rStyle w:val="EndnoteReference"/>
          <w:rFonts w:ascii="Figtree" w:eastAsia="Helvetica" w:hAnsi="Figtree" w:cs="Helvetica"/>
          <w:sz w:val="22"/>
          <w:szCs w:val="22"/>
        </w:rPr>
        <w:endnoteReference w:id="36"/>
      </w:r>
    </w:p>
    <w:p w14:paraId="1A0BA63A" w14:textId="2AF6F678" w:rsidR="00214FD6" w:rsidRPr="00B4409D" w:rsidRDefault="006A70C9" w:rsidP="006A70C9">
      <w:pPr>
        <w:pStyle w:val="Heading3"/>
        <w:spacing w:after="0"/>
        <w:rPr>
          <w:rFonts w:ascii="Figtree" w:eastAsia="Helvetica" w:hAnsi="Figtree" w:cs="Helvetica"/>
          <w:b/>
          <w:bCs/>
          <w:color w:val="000000" w:themeColor="text1"/>
        </w:rPr>
      </w:pPr>
      <w:bookmarkStart w:id="32" w:name="_Toc1242813155"/>
      <w:r>
        <w:rPr>
          <w:rFonts w:ascii="Figtree" w:eastAsia="Helvetica" w:hAnsi="Figtree" w:cs="Helvetica"/>
          <w:b/>
          <w:bCs/>
          <w:color w:val="77206D" w:themeColor="accent5" w:themeShade="BF"/>
          <w:sz w:val="32"/>
          <w:szCs w:val="32"/>
        </w:rPr>
        <w:t xml:space="preserve">Education and employment remedies </w:t>
      </w:r>
      <w:bookmarkEnd w:id="32"/>
    </w:p>
    <w:p w14:paraId="4BF4BE02" w14:textId="40A52497" w:rsidR="00214FD6" w:rsidRPr="00B4409D" w:rsidRDefault="481AF7C6" w:rsidP="481AF7C6">
      <w:p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WWDA has consistently emphasised the need for inclusive, accessible complaint pathways in education and employment settings. These must be supported by:</w:t>
      </w:r>
    </w:p>
    <w:p w14:paraId="072A42C0" w14:textId="59113A6B" w:rsidR="00214FD6" w:rsidRPr="00B4409D" w:rsidRDefault="293559CA" w:rsidP="6E52703F">
      <w:pPr>
        <w:numPr>
          <w:ilvl w:val="0"/>
          <w:numId w:val="19"/>
        </w:numPr>
        <w:spacing w:before="100" w:beforeAutospacing="1" w:after="100" w:afterAutospacing="1" w:line="300" w:lineRule="atLeast"/>
        <w:rPr>
          <w:rFonts w:ascii="Figtree" w:eastAsia="Helvetica" w:hAnsi="Figtree" w:cs="Helvetica"/>
          <w:sz w:val="22"/>
          <w:szCs w:val="22"/>
        </w:rPr>
      </w:pPr>
      <w:r w:rsidRPr="00B4409D">
        <w:rPr>
          <w:rFonts w:ascii="Figtree" w:eastAsia="Helvetica" w:hAnsi="Figtree" w:cs="Helvetica"/>
          <w:color w:val="000000" w:themeColor="text1"/>
          <w:sz w:val="22"/>
          <w:szCs w:val="22"/>
        </w:rPr>
        <w:t>Expanded data collection mandates, including disaggregation by disability, gender identity, sexual orientation, cultural background, and Indigeneity.</w:t>
      </w:r>
      <w:r w:rsidR="470F2CEF" w:rsidRPr="00B4409D">
        <w:rPr>
          <w:rStyle w:val="EndnoteReference"/>
          <w:rFonts w:ascii="Figtree" w:eastAsia="Helvetica" w:hAnsi="Figtree" w:cs="Helvetica"/>
          <w:sz w:val="22"/>
          <w:szCs w:val="22"/>
        </w:rPr>
        <w:endnoteReference w:id="37"/>
      </w:r>
    </w:p>
    <w:p w14:paraId="792D7D4F" w14:textId="25118641" w:rsidR="470F2CEF" w:rsidRDefault="6237C0C4" w:rsidP="6237C0C4">
      <w:pPr>
        <w:numPr>
          <w:ilvl w:val="0"/>
          <w:numId w:val="19"/>
        </w:numPr>
        <w:spacing w:beforeAutospacing="1"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Strengthened oversight mechanisms to ensure compliance with inclusive education and workplace standards.</w:t>
      </w:r>
    </w:p>
    <w:p w14:paraId="2489427A" w14:textId="77777777" w:rsidR="006A70C9" w:rsidRPr="00B4409D" w:rsidRDefault="006A70C9" w:rsidP="006A70C9">
      <w:pPr>
        <w:spacing w:beforeAutospacing="1" w:afterAutospacing="1" w:line="300" w:lineRule="atLeast"/>
        <w:ind w:left="720"/>
        <w:rPr>
          <w:rFonts w:ascii="Figtree" w:eastAsia="Helvetica" w:hAnsi="Figtree" w:cs="Helvetica"/>
          <w:color w:val="000000" w:themeColor="text1"/>
          <w:sz w:val="22"/>
          <w:szCs w:val="22"/>
        </w:rPr>
      </w:pPr>
    </w:p>
    <w:p w14:paraId="2F72075C" w14:textId="788AC8E0" w:rsidR="00214FD6" w:rsidRPr="00B4409D" w:rsidRDefault="006A70C9" w:rsidP="00F659D8">
      <w:pPr>
        <w:pStyle w:val="Heading3"/>
        <w:spacing w:after="0"/>
        <w:rPr>
          <w:rFonts w:ascii="Figtree" w:eastAsia="Helvetica" w:hAnsi="Figtree" w:cs="Helvetica"/>
          <w:b/>
          <w:bCs/>
          <w:color w:val="000000" w:themeColor="text1"/>
        </w:rPr>
      </w:pPr>
      <w:bookmarkStart w:id="33" w:name="_Toc1315429615"/>
      <w:r>
        <w:rPr>
          <w:rFonts w:ascii="Figtree" w:eastAsia="Helvetica" w:hAnsi="Figtree" w:cs="Helvetica"/>
          <w:b/>
          <w:bCs/>
          <w:color w:val="77206D" w:themeColor="accent5" w:themeShade="BF"/>
          <w:sz w:val="32"/>
          <w:szCs w:val="32"/>
        </w:rPr>
        <w:t xml:space="preserve">Participation and co-design </w:t>
      </w:r>
      <w:bookmarkEnd w:id="33"/>
    </w:p>
    <w:p w14:paraId="44911E87" w14:textId="36F10D87" w:rsidR="00214FD6" w:rsidRPr="00B4409D" w:rsidRDefault="293559CA" w:rsidP="6E52703F">
      <w:pPr>
        <w:spacing w:before="100" w:beforeAutospacing="1" w:after="100" w:afterAutospacing="1" w:line="300" w:lineRule="atLeast"/>
        <w:rPr>
          <w:rStyle w:val="EndnoteReference"/>
          <w:rFonts w:ascii="Figtree" w:eastAsia="Helvetica" w:hAnsi="Figtree" w:cs="Helvetica"/>
          <w:sz w:val="22"/>
          <w:szCs w:val="22"/>
        </w:rPr>
      </w:pPr>
      <w:r w:rsidRPr="00B4409D">
        <w:rPr>
          <w:rFonts w:ascii="Figtree" w:eastAsia="Helvetica" w:hAnsi="Figtree" w:cs="Helvetica"/>
          <w:color w:val="000000" w:themeColor="text1"/>
          <w:sz w:val="22"/>
          <w:szCs w:val="22"/>
        </w:rPr>
        <w:t>Remedies must be co-designed with women and girls with disabilities, including non-binary and gender-diverse people. As outlined in CRPD General Comment No. 7, States Parties are obligated to ensure the active and meaningful participation of persons with disabilities in all aspects of policy and program development.</w:t>
      </w:r>
      <w:r w:rsidR="470F2CEF" w:rsidRPr="00B4409D">
        <w:rPr>
          <w:rStyle w:val="EndnoteReference"/>
          <w:rFonts w:ascii="Figtree" w:eastAsia="Helvetica" w:hAnsi="Figtree" w:cs="Helvetica"/>
          <w:sz w:val="22"/>
          <w:szCs w:val="22"/>
        </w:rPr>
        <w:endnoteReference w:id="38"/>
      </w:r>
    </w:p>
    <w:p w14:paraId="0E4CED2C" w14:textId="77777777" w:rsidR="00214FD6" w:rsidRPr="00B4409D" w:rsidRDefault="470F2CEF" w:rsidP="228E0351">
      <w:p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This includes:</w:t>
      </w:r>
    </w:p>
    <w:p w14:paraId="38337971" w14:textId="77777777" w:rsidR="00214FD6" w:rsidRPr="00B4409D" w:rsidRDefault="470F2CEF" w:rsidP="228E0351">
      <w:pPr>
        <w:numPr>
          <w:ilvl w:val="0"/>
          <w:numId w:val="20"/>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Resourcing representative organisations to support individuals in navigating complaints</w:t>
      </w:r>
    </w:p>
    <w:p w14:paraId="29C6B054" w14:textId="6762F6AA" w:rsidR="00214FD6" w:rsidRPr="00B4409D" w:rsidRDefault="6E52703F" w:rsidP="6E52703F">
      <w:pPr>
        <w:numPr>
          <w:ilvl w:val="0"/>
          <w:numId w:val="20"/>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lastRenderedPageBreak/>
        <w:t>Embedding diverse representation in advisory bodies and consultation processes</w:t>
      </w:r>
    </w:p>
    <w:p w14:paraId="73D3BA1F" w14:textId="4E1F4DBB" w:rsidR="470F2CEF" w:rsidRDefault="470F2CEF" w:rsidP="228E0351">
      <w:pPr>
        <w:numPr>
          <w:ilvl w:val="0"/>
          <w:numId w:val="20"/>
        </w:numPr>
        <w:spacing w:beforeAutospacing="1"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Ensuring feedback mechanisms are accessible and inclusive</w:t>
      </w:r>
      <w:r w:rsidR="69F6F266" w:rsidRPr="00B4409D">
        <w:rPr>
          <w:rFonts w:ascii="Figtree" w:eastAsia="Helvetica" w:hAnsi="Figtree" w:cs="Helvetica"/>
          <w:color w:val="000000" w:themeColor="text1"/>
          <w:sz w:val="22"/>
          <w:szCs w:val="22"/>
        </w:rPr>
        <w:t>.</w:t>
      </w:r>
    </w:p>
    <w:p w14:paraId="5FBDD97E" w14:textId="77777777" w:rsidR="006A70C9" w:rsidRPr="00B4409D" w:rsidRDefault="006A70C9" w:rsidP="006A70C9">
      <w:pPr>
        <w:spacing w:beforeAutospacing="1" w:afterAutospacing="1" w:line="300" w:lineRule="atLeast"/>
        <w:ind w:left="720"/>
        <w:rPr>
          <w:rFonts w:ascii="Figtree" w:eastAsia="Helvetica" w:hAnsi="Figtree" w:cs="Helvetica"/>
          <w:color w:val="000000" w:themeColor="text1"/>
          <w:sz w:val="22"/>
          <w:szCs w:val="22"/>
        </w:rPr>
      </w:pPr>
    </w:p>
    <w:p w14:paraId="06641AAF" w14:textId="4EE8309D" w:rsidR="00214FD6" w:rsidRPr="00B4409D" w:rsidRDefault="006A70C9" w:rsidP="228E0351">
      <w:pPr>
        <w:pStyle w:val="Heading3"/>
        <w:rPr>
          <w:rFonts w:ascii="Figtree" w:eastAsia="Helvetica" w:hAnsi="Figtree" w:cs="Helvetica"/>
          <w:b/>
          <w:bCs/>
          <w:color w:val="000000" w:themeColor="text1"/>
        </w:rPr>
      </w:pPr>
      <w:bookmarkStart w:id="34" w:name="_Toc1858440469"/>
      <w:r>
        <w:rPr>
          <w:rFonts w:ascii="Figtree" w:eastAsia="Helvetica" w:hAnsi="Figtree" w:cs="Helvetica"/>
          <w:b/>
          <w:bCs/>
          <w:color w:val="77206D" w:themeColor="accent5" w:themeShade="BF"/>
          <w:sz w:val="32"/>
          <w:szCs w:val="32"/>
        </w:rPr>
        <w:t xml:space="preserve">UN treaty body recommendations </w:t>
      </w:r>
      <w:bookmarkEnd w:id="34"/>
    </w:p>
    <w:p w14:paraId="49605C5A" w14:textId="77777777" w:rsidR="00214FD6" w:rsidRPr="00B4409D" w:rsidRDefault="470F2CEF" w:rsidP="228E0351">
      <w:p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Both the CRPD and CEDAW Committees have repeatedly recommended that Australia:</w:t>
      </w:r>
    </w:p>
    <w:p w14:paraId="10C3CC0E" w14:textId="77777777" w:rsidR="00214FD6" w:rsidRPr="00B4409D" w:rsidRDefault="470F2CEF" w:rsidP="228E0351">
      <w:pPr>
        <w:numPr>
          <w:ilvl w:val="0"/>
          <w:numId w:val="21"/>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Establish a comprehensive redress mechanism for survivors of violence and discrimination</w:t>
      </w:r>
    </w:p>
    <w:p w14:paraId="4277E304" w14:textId="77777777" w:rsidR="00214FD6" w:rsidRPr="00B4409D" w:rsidRDefault="470F2CEF" w:rsidP="228E0351">
      <w:pPr>
        <w:numPr>
          <w:ilvl w:val="0"/>
          <w:numId w:val="21"/>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Implement a National Human Rights Act to embed international obligations into domestic law</w:t>
      </w:r>
    </w:p>
    <w:p w14:paraId="7FC1DA06" w14:textId="44DC9EEB" w:rsidR="00214FD6" w:rsidRPr="00B4409D" w:rsidRDefault="470F2CEF" w:rsidP="228E0351">
      <w:pPr>
        <w:numPr>
          <w:ilvl w:val="0"/>
          <w:numId w:val="21"/>
        </w:numPr>
        <w:spacing w:before="100" w:beforeAutospacing="1" w:after="240"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Ensure remedies are accessible to all persons with disabilities without discrimination of any kind, as affirmed in CRPD General Comment No. 6, para. 65</w:t>
      </w:r>
      <w:r w:rsidR="7322E210" w:rsidRPr="00B4409D">
        <w:rPr>
          <w:rFonts w:ascii="Figtree" w:eastAsia="Helvetica" w:hAnsi="Figtree" w:cs="Helvetica"/>
          <w:color w:val="000000" w:themeColor="text1"/>
          <w:sz w:val="22"/>
          <w:szCs w:val="22"/>
        </w:rPr>
        <w:t>.</w:t>
      </w:r>
    </w:p>
    <w:p w14:paraId="29155C45" w14:textId="6D9B5FC8" w:rsidR="00187CF3" w:rsidRPr="00B4409D" w:rsidRDefault="4058822F" w:rsidP="1FF1FC75">
      <w:pPr>
        <w:spacing w:before="100" w:beforeAutospacing="1" w:after="100" w:afterAutospacing="1" w:line="300" w:lineRule="atLeast"/>
        <w:rPr>
          <w:rFonts w:ascii="Figtree" w:eastAsia="Helvetica" w:hAnsi="Figtree" w:cs="Helvetica"/>
          <w:color w:val="000000" w:themeColor="text1"/>
          <w:sz w:val="21"/>
          <w:szCs w:val="21"/>
        </w:rPr>
      </w:pPr>
      <w:r w:rsidRPr="00B4409D">
        <w:rPr>
          <w:rFonts w:ascii="Figtree" w:eastAsia="Helvetica" w:hAnsi="Figtree" w:cs="Helvetica"/>
          <w:color w:val="000000" w:themeColor="text1"/>
          <w:sz w:val="22"/>
          <w:szCs w:val="22"/>
        </w:rPr>
        <w:t>While</w:t>
      </w:r>
      <w:r w:rsidR="481AF7C6" w:rsidRPr="00B4409D">
        <w:rPr>
          <w:rFonts w:ascii="Figtree" w:eastAsia="Helvetica" w:hAnsi="Figtree" w:cs="Helvetica"/>
          <w:color w:val="000000" w:themeColor="text1"/>
          <w:sz w:val="22"/>
          <w:szCs w:val="22"/>
        </w:rPr>
        <w:t xml:space="preserve"> formal remedies exist, they are not yet accessible, available, affordable nor effective for many women and girls with disabilities—particularly those facing intersectional discrimination. This submission calls for urgent reform to ensure that justice systems, complaint pathways, and redress mechanisms are inclusive, participatory, and responsive to the full diversity of experiences</w:t>
      </w:r>
      <w:r w:rsidR="481AF7C6" w:rsidRPr="00B4409D">
        <w:rPr>
          <w:rFonts w:ascii="Figtree" w:eastAsia="Helvetica" w:hAnsi="Figtree" w:cs="Helvetica"/>
          <w:color w:val="000000" w:themeColor="text1"/>
          <w:sz w:val="21"/>
          <w:szCs w:val="21"/>
        </w:rPr>
        <w:t>.</w:t>
      </w:r>
    </w:p>
    <w:p w14:paraId="70DAF4C7" w14:textId="20D7E502" w:rsidR="228E0351" w:rsidRDefault="293559CA" w:rsidP="00D2461F">
      <w:pPr>
        <w:pStyle w:val="Heading2"/>
        <w:numPr>
          <w:ilvl w:val="0"/>
          <w:numId w:val="3"/>
        </w:numPr>
        <w:rPr>
          <w:rFonts w:ascii="Figtree" w:eastAsia="Helvetica" w:hAnsi="Figtree" w:cs="Helvetica"/>
        </w:rPr>
      </w:pPr>
      <w:bookmarkStart w:id="35" w:name="_Toc629761774"/>
      <w:r w:rsidRPr="00B4409D">
        <w:rPr>
          <w:rFonts w:ascii="Figtree" w:eastAsia="Helvetica" w:hAnsi="Figtree" w:cs="Helvetica"/>
        </w:rPr>
        <w:t>Describe any example of positive initiative, plan, programme, strategy or piece of legislation addressing multiple and intersecting forms of discrimination against women and girls with disabilities.</w:t>
      </w:r>
      <w:bookmarkEnd w:id="35"/>
    </w:p>
    <w:p w14:paraId="0D743246" w14:textId="77777777" w:rsidR="006A70C9" w:rsidRPr="006A70C9" w:rsidRDefault="006A70C9" w:rsidP="006A70C9">
      <w:pPr>
        <w:rPr>
          <w:rFonts w:eastAsia="Helvetica"/>
        </w:rPr>
      </w:pPr>
    </w:p>
    <w:p w14:paraId="489E1F6C" w14:textId="358DAD4F" w:rsidR="228E0351" w:rsidRDefault="481AF7C6" w:rsidP="228E0351">
      <w:pPr>
        <w:pStyle w:val="NormalWeb"/>
        <w:spacing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While systemic discrimination remains widespread, there are emerging examples of promising initiatives</w:t>
      </w:r>
      <w:r w:rsidR="011EB710" w:rsidRPr="00B4409D">
        <w:rPr>
          <w:rFonts w:ascii="Figtree" w:eastAsia="Helvetica" w:hAnsi="Figtree" w:cs="Helvetica"/>
          <w:color w:val="000000" w:themeColor="text1"/>
          <w:sz w:val="22"/>
          <w:szCs w:val="22"/>
        </w:rPr>
        <w:t xml:space="preserve"> </w:t>
      </w:r>
      <w:r w:rsidRPr="00B4409D">
        <w:rPr>
          <w:rFonts w:ascii="Figtree" w:eastAsia="Helvetica" w:hAnsi="Figtree" w:cs="Helvetica"/>
          <w:color w:val="000000" w:themeColor="text1"/>
          <w:sz w:val="22"/>
          <w:szCs w:val="22"/>
        </w:rPr>
        <w:t>that aim to address the intersectional experiences of women and girls with disabilities. These initiatives demonstrate the potential for inclusive, rights-based, and participatory approaches to policy and practice.</w:t>
      </w:r>
    </w:p>
    <w:p w14:paraId="49A2D1C0" w14:textId="77777777" w:rsidR="006A70C9" w:rsidRPr="00B4409D" w:rsidRDefault="006A70C9" w:rsidP="228E0351">
      <w:pPr>
        <w:pStyle w:val="NormalWeb"/>
        <w:spacing w:line="300" w:lineRule="atLeast"/>
        <w:rPr>
          <w:rFonts w:ascii="Figtree" w:eastAsia="Helvetica" w:hAnsi="Figtree" w:cs="Helvetica"/>
          <w:color w:val="000000" w:themeColor="text1"/>
          <w:sz w:val="22"/>
          <w:szCs w:val="22"/>
        </w:rPr>
      </w:pPr>
    </w:p>
    <w:p w14:paraId="5C7A136E" w14:textId="48FACF6D" w:rsidR="009C4EB8" w:rsidRPr="00B4409D" w:rsidRDefault="006A70C9" w:rsidP="1FF1FC75">
      <w:pPr>
        <w:pStyle w:val="Heading3"/>
        <w:rPr>
          <w:rFonts w:ascii="Figtree" w:eastAsia="Helvetica" w:hAnsi="Figtree" w:cs="Helvetica"/>
          <w:color w:val="000000" w:themeColor="text1"/>
        </w:rPr>
      </w:pPr>
      <w:bookmarkStart w:id="36" w:name="_Toc783992606"/>
      <w:r>
        <w:rPr>
          <w:rFonts w:ascii="Figtree" w:eastAsia="Helvetica" w:hAnsi="Figtree" w:cs="Helvetica"/>
          <w:b/>
          <w:bCs/>
          <w:color w:val="77206D" w:themeColor="accent5" w:themeShade="BF"/>
          <w:sz w:val="32"/>
          <w:szCs w:val="32"/>
        </w:rPr>
        <w:t xml:space="preserve">Rainbow to Recovery – Queensland, Australia </w:t>
      </w:r>
      <w:bookmarkEnd w:id="36"/>
    </w:p>
    <w:p w14:paraId="524859CC" w14:textId="77777777" w:rsidR="009C4EB8" w:rsidRPr="00B4409D" w:rsidRDefault="6625E6D2" w:rsidP="228E0351">
      <w:pPr>
        <w:pStyle w:val="NormalWeb"/>
        <w:spacing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 xml:space="preserve">Following the 2022 floods, </w:t>
      </w:r>
      <w:r w:rsidRPr="00B4409D">
        <w:rPr>
          <w:rStyle w:val="Emphasis"/>
          <w:rFonts w:ascii="Figtree" w:eastAsia="Helvetica" w:hAnsi="Figtree" w:cs="Helvetica"/>
          <w:color w:val="000000" w:themeColor="text1"/>
          <w:sz w:val="22"/>
          <w:szCs w:val="22"/>
        </w:rPr>
        <w:t>Rainbow to Recovery</w:t>
      </w:r>
      <w:r w:rsidRPr="00B4409D">
        <w:rPr>
          <w:rFonts w:ascii="Figtree" w:eastAsia="Helvetica" w:hAnsi="Figtree" w:cs="Helvetica"/>
          <w:color w:val="000000" w:themeColor="text1"/>
          <w:sz w:val="22"/>
          <w:szCs w:val="22"/>
        </w:rPr>
        <w:t xml:space="preserve">, a Queensland-based LGBTQIA+ disability advocacy collective, developed an </w:t>
      </w:r>
      <w:r w:rsidRPr="00B4409D">
        <w:rPr>
          <w:rStyle w:val="Strong"/>
          <w:rFonts w:ascii="Figtree" w:eastAsia="Helvetica" w:hAnsi="Figtree" w:cs="Helvetica"/>
          <w:b w:val="0"/>
          <w:bCs w:val="0"/>
          <w:color w:val="000000" w:themeColor="text1"/>
          <w:sz w:val="22"/>
          <w:szCs w:val="22"/>
        </w:rPr>
        <w:t>inclusive emergency response network</w:t>
      </w:r>
      <w:r w:rsidRPr="00B4409D">
        <w:rPr>
          <w:rFonts w:ascii="Figtree" w:eastAsia="Helvetica" w:hAnsi="Figtree" w:cs="Helvetica"/>
          <w:color w:val="000000" w:themeColor="text1"/>
          <w:sz w:val="22"/>
          <w:szCs w:val="22"/>
        </w:rPr>
        <w:t xml:space="preserve"> for queer and disabled people. The initiative:</w:t>
      </w:r>
    </w:p>
    <w:p w14:paraId="3CA9C419" w14:textId="77777777" w:rsidR="009C4EB8" w:rsidRPr="00B4409D" w:rsidRDefault="6625E6D2" w:rsidP="228E0351">
      <w:pPr>
        <w:numPr>
          <w:ilvl w:val="0"/>
          <w:numId w:val="23"/>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 xml:space="preserve">Provided </w:t>
      </w:r>
      <w:r w:rsidRPr="00B4409D">
        <w:rPr>
          <w:rStyle w:val="Strong"/>
          <w:rFonts w:ascii="Figtree" w:eastAsia="Helvetica" w:hAnsi="Figtree" w:cs="Helvetica"/>
          <w:b w:val="0"/>
          <w:bCs w:val="0"/>
          <w:color w:val="000000" w:themeColor="text1"/>
          <w:sz w:val="22"/>
          <w:szCs w:val="22"/>
        </w:rPr>
        <w:t>gender-affirming, peer-led support</w:t>
      </w:r>
      <w:r w:rsidRPr="00B4409D">
        <w:rPr>
          <w:rFonts w:ascii="Figtree" w:eastAsia="Helvetica" w:hAnsi="Figtree" w:cs="Helvetica"/>
          <w:color w:val="000000" w:themeColor="text1"/>
          <w:sz w:val="22"/>
          <w:szCs w:val="22"/>
        </w:rPr>
        <w:t xml:space="preserve"> during and after the disaster</w:t>
      </w:r>
    </w:p>
    <w:p w14:paraId="57D4B684" w14:textId="77777777" w:rsidR="009C4EB8" w:rsidRPr="00B4409D" w:rsidRDefault="6625E6D2" w:rsidP="228E0351">
      <w:pPr>
        <w:numPr>
          <w:ilvl w:val="0"/>
          <w:numId w:val="23"/>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lastRenderedPageBreak/>
        <w:t xml:space="preserve">Partnered with local governments to embed inclusive practices in </w:t>
      </w:r>
      <w:r w:rsidRPr="00B4409D">
        <w:rPr>
          <w:rStyle w:val="Strong"/>
          <w:rFonts w:ascii="Figtree" w:eastAsia="Helvetica" w:hAnsi="Figtree" w:cs="Helvetica"/>
          <w:b w:val="0"/>
          <w:bCs w:val="0"/>
          <w:color w:val="000000" w:themeColor="text1"/>
          <w:sz w:val="22"/>
          <w:szCs w:val="22"/>
        </w:rPr>
        <w:t>future disaster planning</w:t>
      </w:r>
    </w:p>
    <w:p w14:paraId="166AD214" w14:textId="54C0D966" w:rsidR="009C4EB8" w:rsidRPr="00B4409D" w:rsidRDefault="6625E6D2" w:rsidP="228E0351">
      <w:pPr>
        <w:numPr>
          <w:ilvl w:val="0"/>
          <w:numId w:val="23"/>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Created a community resilience framework that centres lived experience and intersectionality</w:t>
      </w:r>
      <w:r w:rsidR="00F04CB9" w:rsidRPr="00B4409D">
        <w:rPr>
          <w:rFonts w:ascii="Figtree" w:eastAsia="Helvetica" w:hAnsi="Figtree" w:cs="Helvetica"/>
          <w:color w:val="000000" w:themeColor="text1"/>
          <w:sz w:val="22"/>
          <w:szCs w:val="22"/>
        </w:rPr>
        <w:t>.</w:t>
      </w:r>
    </w:p>
    <w:p w14:paraId="69CFEF95" w14:textId="6E5C1448" w:rsidR="009C4EB8" w:rsidRDefault="293559CA" w:rsidP="6E52703F">
      <w:pPr>
        <w:pStyle w:val="NormalWeb"/>
        <w:spacing w:line="300" w:lineRule="atLeast"/>
        <w:rPr>
          <w:rStyle w:val="Strong"/>
          <w:rFonts w:ascii="Figtree" w:eastAsia="Helvetica" w:hAnsi="Figtree" w:cs="Helvetica"/>
          <w:b w:val="0"/>
          <w:bCs w:val="0"/>
          <w:color w:val="000000" w:themeColor="text1"/>
          <w:sz w:val="22"/>
          <w:szCs w:val="22"/>
        </w:rPr>
      </w:pPr>
      <w:r w:rsidRPr="00B4409D">
        <w:rPr>
          <w:rFonts w:ascii="Figtree" w:eastAsia="Helvetica" w:hAnsi="Figtree" w:cs="Helvetica"/>
          <w:color w:val="000000" w:themeColor="text1"/>
          <w:sz w:val="22"/>
          <w:szCs w:val="22"/>
        </w:rPr>
        <w:t>This initiative aligns with CRPD Article 11 (situations of risk and humanitarian emergencies) and Articles 4(3)</w:t>
      </w:r>
      <w:r w:rsidRPr="00B4409D">
        <w:rPr>
          <w:rFonts w:ascii="Figtree" w:eastAsia="Helvetica" w:hAnsi="Figtree" w:cs="Helvetica"/>
          <w:b/>
          <w:bCs/>
          <w:color w:val="000000" w:themeColor="text1"/>
          <w:sz w:val="22"/>
          <w:szCs w:val="22"/>
        </w:rPr>
        <w:t xml:space="preserve"> </w:t>
      </w:r>
      <w:r w:rsidRPr="00B4409D">
        <w:rPr>
          <w:rFonts w:ascii="Figtree" w:eastAsia="Helvetica" w:hAnsi="Figtree" w:cs="Helvetica"/>
          <w:color w:val="000000" w:themeColor="text1"/>
          <w:sz w:val="22"/>
          <w:szCs w:val="22"/>
        </w:rPr>
        <w:t>and</w:t>
      </w:r>
      <w:r w:rsidRPr="00B4409D">
        <w:rPr>
          <w:rFonts w:ascii="Figtree" w:eastAsia="Helvetica" w:hAnsi="Figtree" w:cs="Helvetica"/>
          <w:b/>
          <w:bCs/>
          <w:color w:val="000000" w:themeColor="text1"/>
          <w:sz w:val="22"/>
          <w:szCs w:val="22"/>
        </w:rPr>
        <w:t xml:space="preserve"> </w:t>
      </w:r>
      <w:r w:rsidRPr="00B4409D">
        <w:rPr>
          <w:rStyle w:val="Strong"/>
          <w:rFonts w:ascii="Figtree" w:eastAsia="Helvetica" w:hAnsi="Figtree" w:cs="Helvetica"/>
          <w:b w:val="0"/>
          <w:bCs w:val="0"/>
          <w:color w:val="000000" w:themeColor="text1"/>
          <w:sz w:val="22"/>
          <w:szCs w:val="22"/>
        </w:rPr>
        <w:t>33(3) on participation and consultation.</w:t>
      </w:r>
      <w:r w:rsidR="6625E6D2" w:rsidRPr="00B4409D">
        <w:rPr>
          <w:rStyle w:val="EndnoteReference"/>
          <w:rFonts w:ascii="Figtree" w:eastAsia="Helvetica" w:hAnsi="Figtree" w:cs="Helvetica"/>
          <w:color w:val="000000" w:themeColor="text1"/>
          <w:sz w:val="22"/>
          <w:szCs w:val="22"/>
        </w:rPr>
        <w:endnoteReference w:id="39"/>
      </w:r>
    </w:p>
    <w:p w14:paraId="11977A72" w14:textId="77777777" w:rsidR="006A70C9" w:rsidRPr="00B4409D" w:rsidRDefault="006A70C9" w:rsidP="6E52703F">
      <w:pPr>
        <w:pStyle w:val="NormalWeb"/>
        <w:spacing w:line="300" w:lineRule="atLeast"/>
        <w:rPr>
          <w:rFonts w:ascii="Figtree" w:eastAsia="Helvetica" w:hAnsi="Figtree" w:cs="Helvetica"/>
          <w:color w:val="000000" w:themeColor="text1"/>
          <w:sz w:val="22"/>
          <w:szCs w:val="22"/>
        </w:rPr>
      </w:pPr>
    </w:p>
    <w:p w14:paraId="07765C5D" w14:textId="77777777" w:rsidR="006A70C9" w:rsidRDefault="006A70C9" w:rsidP="481AF7C6">
      <w:pPr>
        <w:spacing w:before="75" w:after="75" w:line="300" w:lineRule="auto"/>
        <w:ind w:right="75"/>
        <w:rPr>
          <w:rFonts w:ascii="Figtree" w:eastAsia="Helvetica" w:hAnsi="Figtree" w:cs="Helvetica"/>
          <w:b/>
          <w:bCs/>
          <w:color w:val="77206D" w:themeColor="accent5" w:themeShade="BF"/>
          <w:sz w:val="32"/>
          <w:szCs w:val="32"/>
        </w:rPr>
      </w:pPr>
      <w:r>
        <w:rPr>
          <w:rFonts w:ascii="Figtree" w:eastAsia="Helvetica" w:hAnsi="Figtree" w:cs="Helvetica"/>
          <w:b/>
          <w:bCs/>
          <w:color w:val="77206D" w:themeColor="accent5" w:themeShade="BF"/>
          <w:sz w:val="32"/>
          <w:szCs w:val="32"/>
        </w:rPr>
        <w:t>Cost protection laws</w:t>
      </w:r>
    </w:p>
    <w:p w14:paraId="18DB017F" w14:textId="76D93FED" w:rsidR="228E0351" w:rsidRPr="006A70C9" w:rsidRDefault="2A534BB7" w:rsidP="481AF7C6">
      <w:pPr>
        <w:spacing w:before="75" w:after="75" w:line="300" w:lineRule="auto"/>
        <w:ind w:right="75"/>
        <w:rPr>
          <w:rFonts w:ascii="Figtree" w:eastAsia="Helvetica" w:hAnsi="Figtree" w:cs="Helvetica"/>
          <w:b/>
          <w:bCs/>
          <w:color w:val="77206D" w:themeColor="accent5" w:themeShade="BF"/>
          <w:sz w:val="32"/>
          <w:szCs w:val="32"/>
        </w:rPr>
      </w:pPr>
      <w:r w:rsidRPr="00B4409D">
        <w:rPr>
          <w:rFonts w:ascii="Figtree" w:eastAsia="Helvetica" w:hAnsi="Figtree" w:cs="Helvetica"/>
          <w:sz w:val="22"/>
          <w:szCs w:val="22"/>
        </w:rPr>
        <w:t xml:space="preserve">The recent introduction of Costs Protection laws in </w:t>
      </w:r>
      <w:r w:rsidR="008410E7" w:rsidRPr="00B4409D">
        <w:rPr>
          <w:rFonts w:ascii="Figtree" w:eastAsia="Helvetica" w:hAnsi="Figtree" w:cs="Helvetica"/>
          <w:sz w:val="22"/>
          <w:szCs w:val="22"/>
        </w:rPr>
        <w:t>Australia</w:t>
      </w:r>
      <w:r w:rsidRPr="00B4409D">
        <w:rPr>
          <w:rFonts w:ascii="Figtree" w:eastAsia="Helvetica" w:hAnsi="Figtree" w:cs="Helvetica"/>
          <w:sz w:val="22"/>
          <w:szCs w:val="22"/>
        </w:rPr>
        <w:t xml:space="preserve"> represents a significant advancement in enhancing access to justice, </w:t>
      </w:r>
      <w:r w:rsidR="481AF7C6" w:rsidRPr="00B4409D">
        <w:rPr>
          <w:rFonts w:ascii="Figtree" w:eastAsia="Helvetica" w:hAnsi="Figtree" w:cs="Helvetica"/>
          <w:sz w:val="22"/>
          <w:szCs w:val="22"/>
        </w:rPr>
        <w:t xml:space="preserve">by mitigating </w:t>
      </w:r>
      <w:r w:rsidRPr="00B4409D">
        <w:rPr>
          <w:rFonts w:ascii="Figtree" w:eastAsia="Helvetica" w:hAnsi="Figtree" w:cs="Helvetica"/>
          <w:sz w:val="22"/>
          <w:szCs w:val="22"/>
        </w:rPr>
        <w:t>the financial risks associated with pursuing legal action</w:t>
      </w:r>
      <w:r w:rsidR="4058822F" w:rsidRPr="00B4409D">
        <w:rPr>
          <w:rFonts w:ascii="Figtree" w:eastAsia="Helvetica" w:hAnsi="Figtree" w:cs="Helvetica"/>
          <w:sz w:val="22"/>
          <w:szCs w:val="22"/>
        </w:rPr>
        <w:t>.</w:t>
      </w:r>
      <w:r w:rsidR="481AF7C6" w:rsidRPr="00B4409D">
        <w:rPr>
          <w:rFonts w:ascii="Figtree" w:eastAsia="Helvetica" w:hAnsi="Figtree" w:cs="Helvetica"/>
          <w:sz w:val="22"/>
          <w:szCs w:val="22"/>
        </w:rPr>
        <w:t xml:space="preserve"> </w:t>
      </w:r>
      <w:r w:rsidR="6E52703F" w:rsidRPr="00B4409D">
        <w:rPr>
          <w:rFonts w:ascii="Figtree" w:eastAsia="Helvetica" w:hAnsi="Figtree" w:cs="Helvetica"/>
          <w:color w:val="242424"/>
          <w:sz w:val="22"/>
          <w:szCs w:val="22"/>
        </w:rPr>
        <w:t>Under this model, each party generally bears their own legal costs, regardless of the outcome of the case</w:t>
      </w:r>
      <w:r w:rsidR="45F9CFEA" w:rsidRPr="00B4409D">
        <w:rPr>
          <w:rFonts w:ascii="Figtree" w:eastAsia="Helvetica" w:hAnsi="Figtree" w:cs="Helvetica"/>
          <w:color w:val="242424"/>
          <w:sz w:val="22"/>
          <w:szCs w:val="22"/>
        </w:rPr>
        <w:t>:</w:t>
      </w:r>
      <w:r w:rsidRPr="00B4409D" w:rsidDel="481AF7C6">
        <w:rPr>
          <w:rFonts w:ascii="Figtree" w:eastAsia="Helvetica" w:hAnsi="Figtree" w:cs="Helvetica"/>
          <w:color w:val="242424"/>
          <w:sz w:val="22"/>
          <w:szCs w:val="22"/>
        </w:rPr>
        <w:t xml:space="preserve"> </w:t>
      </w:r>
      <w:r w:rsidR="6E52703F" w:rsidRPr="00B4409D">
        <w:rPr>
          <w:rFonts w:ascii="Figtree" w:eastAsia="Helvetica" w:hAnsi="Figtree" w:cs="Helvetica"/>
          <w:color w:val="242424"/>
          <w:sz w:val="22"/>
          <w:szCs w:val="22"/>
        </w:rPr>
        <w:t>even if a claimant loses their case, they are not required to pay the legal costs of the other party. This approach aims to reduce the financial burden and risk for individuals seeking to challenge discrimination without</w:t>
      </w:r>
      <w:r w:rsidRPr="00B4409D" w:rsidDel="481AF7C6">
        <w:rPr>
          <w:rFonts w:ascii="Figtree" w:eastAsia="Helvetica" w:hAnsi="Figtree" w:cs="Helvetica"/>
          <w:color w:val="242424"/>
          <w:sz w:val="22"/>
          <w:szCs w:val="22"/>
        </w:rPr>
        <w:t xml:space="preserve"> </w:t>
      </w:r>
      <w:r w:rsidR="6E52703F" w:rsidRPr="00B4409D">
        <w:rPr>
          <w:rFonts w:ascii="Figtree" w:eastAsia="Helvetica" w:hAnsi="Figtree" w:cs="Helvetica"/>
          <w:color w:val="242424"/>
          <w:sz w:val="22"/>
          <w:szCs w:val="22"/>
        </w:rPr>
        <w:t xml:space="preserve">fear of prohibitive expenses. </w:t>
      </w:r>
      <w:r w:rsidRPr="00B4409D">
        <w:rPr>
          <w:rFonts w:ascii="Figtree" w:eastAsia="Helvetica" w:hAnsi="Figtree" w:cs="Helvetica"/>
          <w:sz w:val="22"/>
          <w:szCs w:val="22"/>
        </w:rPr>
        <w:t>While these laws are a positive step, there</w:t>
      </w:r>
      <w:r w:rsidRPr="00B4409D" w:rsidDel="481AF7C6">
        <w:rPr>
          <w:rFonts w:ascii="Figtree" w:eastAsia="Helvetica" w:hAnsi="Figtree" w:cs="Helvetica"/>
          <w:sz w:val="22"/>
          <w:szCs w:val="22"/>
        </w:rPr>
        <w:t xml:space="preserve"> </w:t>
      </w:r>
      <w:r w:rsidRPr="00B4409D">
        <w:rPr>
          <w:rFonts w:ascii="Figtree" w:eastAsia="Helvetica" w:hAnsi="Figtree" w:cs="Helvetica"/>
          <w:sz w:val="22"/>
          <w:szCs w:val="22"/>
        </w:rPr>
        <w:t xml:space="preserve">remain other significant barriers to accessing justice that need to be addressed. </w:t>
      </w:r>
    </w:p>
    <w:p w14:paraId="4CCA675C" w14:textId="77777777" w:rsidR="006A70C9" w:rsidRDefault="006A70C9" w:rsidP="228E0351">
      <w:pPr>
        <w:pStyle w:val="Heading3"/>
        <w:rPr>
          <w:rFonts w:ascii="Figtree" w:eastAsia="Helvetica" w:hAnsi="Figtree" w:cs="Helvetica"/>
          <w:b/>
          <w:bCs/>
          <w:color w:val="77206D" w:themeColor="accent5" w:themeShade="BF"/>
          <w:sz w:val="32"/>
          <w:szCs w:val="32"/>
        </w:rPr>
      </w:pPr>
      <w:bookmarkStart w:id="37" w:name="_Toc1395889806"/>
      <w:r>
        <w:rPr>
          <w:rFonts w:ascii="Figtree" w:eastAsia="Helvetica" w:hAnsi="Figtree" w:cs="Helvetica"/>
          <w:b/>
          <w:bCs/>
          <w:color w:val="77206D" w:themeColor="accent5" w:themeShade="BF"/>
          <w:sz w:val="32"/>
          <w:szCs w:val="32"/>
        </w:rPr>
        <w:t>Victoria’s Gender Equality Act 2020</w:t>
      </w:r>
    </w:p>
    <w:bookmarkEnd w:id="37"/>
    <w:p w14:paraId="41A98EAC" w14:textId="33FDE23E" w:rsidR="00542787" w:rsidRDefault="4058822F" w:rsidP="481AF7C6">
      <w:pPr>
        <w:spacing w:before="240" w:after="240" w:line="276" w:lineRule="auto"/>
        <w:rPr>
          <w:rFonts w:ascii="Figtree" w:eastAsia="Helvetica" w:hAnsi="Figtree" w:cs="Helvetica"/>
          <w:sz w:val="22"/>
          <w:szCs w:val="22"/>
        </w:rPr>
      </w:pPr>
      <w:r w:rsidRPr="00B4409D">
        <w:rPr>
          <w:rFonts w:ascii="Figtree" w:eastAsia="Helvetica" w:hAnsi="Figtree" w:cs="Helvetica"/>
          <w:sz w:val="22"/>
          <w:szCs w:val="22"/>
        </w:rPr>
        <w:t>The</w:t>
      </w:r>
      <w:r w:rsidR="481AF7C6" w:rsidRPr="00B4409D">
        <w:rPr>
          <w:rFonts w:ascii="Figtree" w:eastAsia="Helvetica" w:hAnsi="Figtree" w:cs="Helvetica"/>
          <w:sz w:val="22"/>
          <w:szCs w:val="22"/>
        </w:rPr>
        <w:t xml:space="preserve"> Gender Equality Act 2020 in Victoria offers a promising model by explicitly acknowledging that gender inequality can be compounded by other forms of disadvantage</w:t>
      </w:r>
      <w:r w:rsidR="4BF71AF7" w:rsidRPr="00B4409D" w:rsidDel="481AF7C6">
        <w:rPr>
          <w:rFonts w:ascii="Figtree" w:eastAsia="Helvetica" w:hAnsi="Figtree" w:cs="Helvetica"/>
          <w:sz w:val="22"/>
          <w:szCs w:val="22"/>
        </w:rPr>
        <w:t xml:space="preserve"> </w:t>
      </w:r>
      <w:r w:rsidR="481AF7C6" w:rsidRPr="00B4409D">
        <w:rPr>
          <w:rFonts w:ascii="Figtree" w:eastAsia="Helvetica" w:hAnsi="Figtree" w:cs="Helvetica"/>
          <w:sz w:val="22"/>
          <w:szCs w:val="22"/>
        </w:rPr>
        <w:t>including disability, Aboriginality, ethnicity, and sexual orientation</w:t>
      </w:r>
      <w:r w:rsidR="4BF71AF7" w:rsidRPr="00B4409D" w:rsidDel="481AF7C6">
        <w:rPr>
          <w:rFonts w:ascii="Figtree" w:eastAsia="Helvetica" w:hAnsi="Figtree" w:cs="Helvetica"/>
          <w:sz w:val="22"/>
          <w:szCs w:val="22"/>
        </w:rPr>
        <w:t>.</w:t>
      </w:r>
      <w:r w:rsidR="481AF7C6" w:rsidRPr="00B4409D">
        <w:rPr>
          <w:rFonts w:ascii="Figtree" w:eastAsia="Helvetica" w:hAnsi="Figtree" w:cs="Helvetica"/>
          <w:sz w:val="22"/>
          <w:szCs w:val="22"/>
        </w:rPr>
        <w:t xml:space="preserve"> This recognition is crucial as it highlights the intersectional nature of discrimination, ensuring that policies and initiatives are more inclusive and responsive to the diverse experiences of individuals. This Act sets a valuable precedent for other jurisdictions</w:t>
      </w:r>
      <w:r w:rsidR="4BF71AF7" w:rsidRPr="00B4409D" w:rsidDel="481AF7C6">
        <w:rPr>
          <w:rFonts w:ascii="Figtree" w:eastAsia="Helvetica" w:hAnsi="Figtree" w:cs="Helvetica"/>
          <w:sz w:val="22"/>
          <w:szCs w:val="22"/>
        </w:rPr>
        <w:t xml:space="preserve"> </w:t>
      </w:r>
      <w:r w:rsidR="481AF7C6" w:rsidRPr="00B4409D">
        <w:rPr>
          <w:rFonts w:ascii="Figtree" w:eastAsia="Helvetica" w:hAnsi="Figtree" w:cs="Helvetica"/>
          <w:sz w:val="22"/>
          <w:szCs w:val="22"/>
        </w:rPr>
        <w:t>aiming for a more equitable and inclusive approach to addressing gender inequality. However, this remains an exception rather than the norm.</w:t>
      </w:r>
      <w:r w:rsidR="4A63E06B" w:rsidRPr="00B4409D">
        <w:rPr>
          <w:rStyle w:val="EndnoteReference"/>
          <w:rFonts w:ascii="Figtree" w:eastAsia="Helvetica" w:hAnsi="Figtree" w:cs="Helvetica"/>
          <w:sz w:val="22"/>
          <w:szCs w:val="22"/>
        </w:rPr>
        <w:endnoteReference w:id="40"/>
      </w:r>
      <w:r w:rsidR="481AF7C6" w:rsidRPr="00B4409D">
        <w:rPr>
          <w:rStyle w:val="EndnoteReference"/>
          <w:rFonts w:ascii="Figtree" w:eastAsia="Helvetica" w:hAnsi="Figtree" w:cs="Helvetica"/>
          <w:sz w:val="22"/>
          <w:szCs w:val="22"/>
        </w:rPr>
        <w:t xml:space="preserve"> </w:t>
      </w:r>
      <w:r w:rsidR="481AF7C6" w:rsidRPr="00B4409D">
        <w:rPr>
          <w:rStyle w:val="EndnoteReference"/>
          <w:rFonts w:ascii="Figtree" w:eastAsia="Helvetica" w:hAnsi="Figtree" w:cs="Helvetica"/>
          <w:sz w:val="22"/>
          <w:szCs w:val="22"/>
          <w:vertAlign w:val="baseline"/>
        </w:rPr>
        <w:t xml:space="preserve"> It also falls short of recognising intersectionality as overlapping and mutually reinforcing systemic discrimination.</w:t>
      </w:r>
      <w:bookmarkStart w:id="38" w:name="_Toc706546395"/>
    </w:p>
    <w:p w14:paraId="3FD9873B" w14:textId="77777777" w:rsidR="006A70C9" w:rsidRPr="00B4409D" w:rsidRDefault="006A70C9" w:rsidP="481AF7C6">
      <w:pPr>
        <w:spacing w:before="240" w:after="240" w:line="276" w:lineRule="auto"/>
        <w:rPr>
          <w:rStyle w:val="EndnoteReference"/>
          <w:rFonts w:ascii="Figtree" w:eastAsia="Helvetica" w:hAnsi="Figtree" w:cs="Helvetica"/>
          <w:sz w:val="22"/>
          <w:szCs w:val="22"/>
          <w:vertAlign w:val="baseline"/>
        </w:rPr>
      </w:pPr>
    </w:p>
    <w:p w14:paraId="28D86FA9" w14:textId="67F319EA" w:rsidR="009C4EB8" w:rsidRPr="00B4409D" w:rsidRDefault="006A70C9" w:rsidP="228E0351">
      <w:pPr>
        <w:pStyle w:val="Heading2"/>
        <w:rPr>
          <w:rFonts w:ascii="Figtree" w:eastAsia="Helvetica" w:hAnsi="Figtree" w:cs="Helvetica"/>
          <w:color w:val="000000" w:themeColor="text1"/>
          <w:sz w:val="27"/>
          <w:szCs w:val="27"/>
        </w:rPr>
      </w:pPr>
      <w:r>
        <w:rPr>
          <w:rFonts w:ascii="Figtree" w:eastAsia="Helvetica" w:hAnsi="Figtree" w:cs="Helvetica"/>
          <w:b/>
          <w:bCs/>
          <w:color w:val="77206D" w:themeColor="accent5" w:themeShade="BF"/>
        </w:rPr>
        <w:t xml:space="preserve">Conclusion </w:t>
      </w:r>
      <w:bookmarkEnd w:id="38"/>
    </w:p>
    <w:p w14:paraId="48E90261" w14:textId="230CE36D" w:rsidR="228E0351" w:rsidRPr="00B4409D" w:rsidRDefault="481AF7C6" w:rsidP="228E0351">
      <w:pPr>
        <w:pStyle w:val="NormalWeb"/>
        <w:spacing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WWDA and PWDA affirm that intersectionality must be central to all guidelines, policies, and legal frameworks</w:t>
      </w:r>
      <w:r w:rsidR="4058822F" w:rsidRPr="00B4409D">
        <w:rPr>
          <w:rFonts w:ascii="Figtree" w:eastAsia="Helvetica" w:hAnsi="Figtree" w:cs="Helvetica"/>
          <w:color w:val="000000" w:themeColor="text1"/>
          <w:sz w:val="22"/>
          <w:szCs w:val="22"/>
        </w:rPr>
        <w:t>.</w:t>
      </w:r>
      <w:r w:rsidRPr="00B4409D">
        <w:rPr>
          <w:rFonts w:ascii="Figtree" w:eastAsia="Helvetica" w:hAnsi="Figtree" w:cs="Helvetica"/>
          <w:color w:val="000000" w:themeColor="text1"/>
          <w:sz w:val="22"/>
          <w:szCs w:val="22"/>
        </w:rPr>
        <w:t xml:space="preserve"> The lived experiences of women, girls, and gender-diverse people with disabilities are shaped by multiple, overlapping systems of discrimination</w:t>
      </w:r>
      <w:r w:rsidR="4058822F" w:rsidRPr="00B4409D">
        <w:rPr>
          <w:rFonts w:ascii="Figtree" w:eastAsia="Helvetica" w:hAnsi="Figtree" w:cs="Helvetica"/>
          <w:color w:val="000000" w:themeColor="text1"/>
          <w:sz w:val="22"/>
          <w:szCs w:val="22"/>
        </w:rPr>
        <w:t>.</w:t>
      </w:r>
      <w:r w:rsidRPr="00B4409D">
        <w:rPr>
          <w:rFonts w:ascii="Figtree" w:eastAsia="Helvetica" w:hAnsi="Figtree" w:cs="Helvetica"/>
          <w:color w:val="000000" w:themeColor="text1"/>
          <w:sz w:val="22"/>
          <w:szCs w:val="22"/>
        </w:rPr>
        <w:t xml:space="preserve"> These systems do not operate in isolation, and neither should the responses.</w:t>
      </w:r>
    </w:p>
    <w:p w14:paraId="1D824535" w14:textId="44AEEFFC" w:rsidR="009C4EB8" w:rsidRPr="00B4409D" w:rsidRDefault="481AF7C6" w:rsidP="1FF1FC75">
      <w:pPr>
        <w:pStyle w:val="NormalWeb"/>
        <w:spacing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lastRenderedPageBreak/>
        <w:t>To be effective, the Committee’s guidance must reflect the full diversity of women and girls with disabilities. These communities face distinct and compounded forms of marginalisation that must be explicitly named and addressed</w:t>
      </w:r>
      <w:r w:rsidRPr="00B4409D">
        <w:rPr>
          <w:rFonts w:ascii="Figtree" w:eastAsia="Helvetica" w:hAnsi="Figtree" w:cs="Helvetica"/>
          <w:b/>
          <w:bCs/>
          <w:color w:val="000000" w:themeColor="text1"/>
          <w:sz w:val="22"/>
          <w:szCs w:val="22"/>
        </w:rPr>
        <w:t xml:space="preserve"> </w:t>
      </w:r>
      <w:r w:rsidRPr="00B4409D">
        <w:rPr>
          <w:rFonts w:ascii="Figtree" w:eastAsia="Helvetica" w:hAnsi="Figtree" w:cs="Helvetica"/>
          <w:color w:val="000000" w:themeColor="text1"/>
          <w:sz w:val="22"/>
          <w:szCs w:val="22"/>
        </w:rPr>
        <w:t>across all domains</w:t>
      </w:r>
      <w:r w:rsidR="4058822F" w:rsidRPr="00B4409D">
        <w:rPr>
          <w:rFonts w:ascii="Figtree" w:eastAsia="Helvetica" w:hAnsi="Figtree" w:cs="Helvetica"/>
          <w:color w:val="000000" w:themeColor="text1"/>
          <w:sz w:val="22"/>
          <w:szCs w:val="22"/>
        </w:rPr>
        <w:t>.</w:t>
      </w:r>
      <w:r w:rsidRPr="00B4409D">
        <w:rPr>
          <w:rFonts w:ascii="Figtree" w:eastAsia="Helvetica" w:hAnsi="Figtree" w:cs="Helvetica"/>
          <w:color w:val="000000" w:themeColor="text1"/>
          <w:sz w:val="22"/>
          <w:szCs w:val="22"/>
        </w:rPr>
        <w:t xml:space="preserve"> </w:t>
      </w:r>
    </w:p>
    <w:p w14:paraId="5F4D6C19" w14:textId="78DBB59E" w:rsidR="009C4EB8" w:rsidRPr="00B4409D" w:rsidRDefault="2400BE69" w:rsidP="228E0351">
      <w:pPr>
        <w:pStyle w:val="NormalWeb"/>
        <w:spacing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 xml:space="preserve">A truly inclusive disability rights framework must be </w:t>
      </w:r>
      <w:r w:rsidRPr="00B4409D">
        <w:rPr>
          <w:rStyle w:val="Strong"/>
          <w:rFonts w:ascii="Figtree" w:eastAsia="Helvetica" w:hAnsi="Figtree" w:cs="Helvetica"/>
          <w:b w:val="0"/>
          <w:bCs w:val="0"/>
          <w:color w:val="000000" w:themeColor="text1"/>
          <w:sz w:val="22"/>
          <w:szCs w:val="22"/>
        </w:rPr>
        <w:t>grounded in lived experience</w:t>
      </w:r>
      <w:r w:rsidRPr="00B4409D">
        <w:rPr>
          <w:rFonts w:ascii="Figtree" w:eastAsia="Helvetica" w:hAnsi="Figtree" w:cs="Helvetica"/>
          <w:color w:val="000000" w:themeColor="text1"/>
          <w:sz w:val="22"/>
          <w:szCs w:val="22"/>
        </w:rPr>
        <w:t xml:space="preserve">, co-designed with those most affected, and supported by </w:t>
      </w:r>
      <w:r w:rsidRPr="00B4409D">
        <w:rPr>
          <w:rStyle w:val="Strong"/>
          <w:rFonts w:ascii="Figtree" w:eastAsia="Helvetica" w:hAnsi="Figtree" w:cs="Helvetica"/>
          <w:b w:val="0"/>
          <w:bCs w:val="0"/>
          <w:color w:val="000000" w:themeColor="text1"/>
          <w:sz w:val="22"/>
          <w:szCs w:val="22"/>
        </w:rPr>
        <w:t>measurable improvements</w:t>
      </w:r>
      <w:r w:rsidRPr="00B4409D">
        <w:rPr>
          <w:rFonts w:ascii="Figtree" w:eastAsia="Helvetica" w:hAnsi="Figtree" w:cs="Helvetica"/>
          <w:color w:val="000000" w:themeColor="text1"/>
          <w:sz w:val="22"/>
          <w:szCs w:val="22"/>
        </w:rPr>
        <w:t xml:space="preserve"> in law, policy, and outcomes. This includes:</w:t>
      </w:r>
    </w:p>
    <w:p w14:paraId="3838F777" w14:textId="77777777" w:rsidR="009C4EB8" w:rsidRPr="00B4409D" w:rsidRDefault="6625E6D2" w:rsidP="228E0351">
      <w:pPr>
        <w:numPr>
          <w:ilvl w:val="0"/>
          <w:numId w:val="27"/>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 xml:space="preserve">Embedding </w:t>
      </w:r>
      <w:r w:rsidRPr="00B4409D">
        <w:rPr>
          <w:rStyle w:val="Strong"/>
          <w:rFonts w:ascii="Figtree" w:eastAsia="Helvetica" w:hAnsi="Figtree" w:cs="Helvetica"/>
          <w:b w:val="0"/>
          <w:bCs w:val="0"/>
          <w:color w:val="000000" w:themeColor="text1"/>
          <w:sz w:val="22"/>
          <w:szCs w:val="22"/>
        </w:rPr>
        <w:t>intersectional analysis</w:t>
      </w:r>
      <w:r w:rsidRPr="00B4409D">
        <w:rPr>
          <w:rFonts w:ascii="Figtree" w:eastAsia="Helvetica" w:hAnsi="Figtree" w:cs="Helvetica"/>
          <w:color w:val="000000" w:themeColor="text1"/>
          <w:sz w:val="22"/>
          <w:szCs w:val="22"/>
        </w:rPr>
        <w:t xml:space="preserve"> in all anti-discrimination legislation and policy</w:t>
      </w:r>
    </w:p>
    <w:p w14:paraId="7C7A57C9" w14:textId="77777777" w:rsidR="009C4EB8" w:rsidRPr="00B4409D" w:rsidRDefault="6625E6D2" w:rsidP="228E0351">
      <w:pPr>
        <w:numPr>
          <w:ilvl w:val="0"/>
          <w:numId w:val="27"/>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 xml:space="preserve">Ensuring </w:t>
      </w:r>
      <w:r w:rsidRPr="00B4409D">
        <w:rPr>
          <w:rStyle w:val="Strong"/>
          <w:rFonts w:ascii="Figtree" w:eastAsia="Helvetica" w:hAnsi="Figtree" w:cs="Helvetica"/>
          <w:b w:val="0"/>
          <w:bCs w:val="0"/>
          <w:color w:val="000000" w:themeColor="text1"/>
          <w:sz w:val="22"/>
          <w:szCs w:val="22"/>
        </w:rPr>
        <w:t>accessible, trauma-informed, and culturally safe remedies</w:t>
      </w:r>
    </w:p>
    <w:p w14:paraId="7C86A5C3" w14:textId="77777777" w:rsidR="009C4EB8" w:rsidRPr="00B4409D" w:rsidRDefault="6625E6D2" w:rsidP="228E0351">
      <w:pPr>
        <w:numPr>
          <w:ilvl w:val="0"/>
          <w:numId w:val="27"/>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 xml:space="preserve">Collecting and publicly reporting </w:t>
      </w:r>
      <w:r w:rsidRPr="00B4409D">
        <w:rPr>
          <w:rStyle w:val="Strong"/>
          <w:rFonts w:ascii="Figtree" w:eastAsia="Helvetica" w:hAnsi="Figtree" w:cs="Helvetica"/>
          <w:b w:val="0"/>
          <w:bCs w:val="0"/>
          <w:color w:val="000000" w:themeColor="text1"/>
          <w:sz w:val="22"/>
          <w:szCs w:val="22"/>
        </w:rPr>
        <w:t>disaggregated data</w:t>
      </w:r>
      <w:r w:rsidRPr="00B4409D">
        <w:rPr>
          <w:rFonts w:ascii="Figtree" w:eastAsia="Helvetica" w:hAnsi="Figtree" w:cs="Helvetica"/>
          <w:color w:val="000000" w:themeColor="text1"/>
          <w:sz w:val="22"/>
          <w:szCs w:val="22"/>
        </w:rPr>
        <w:t xml:space="preserve"> across all identity markers</w:t>
      </w:r>
    </w:p>
    <w:p w14:paraId="549231AF" w14:textId="77777777" w:rsidR="009C4EB8" w:rsidRPr="00B4409D" w:rsidRDefault="6625E6D2" w:rsidP="228E0351">
      <w:pPr>
        <w:numPr>
          <w:ilvl w:val="0"/>
          <w:numId w:val="27"/>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 xml:space="preserve">Resourcing </w:t>
      </w:r>
      <w:r w:rsidRPr="00B4409D">
        <w:rPr>
          <w:rStyle w:val="Strong"/>
          <w:rFonts w:ascii="Figtree" w:eastAsia="Helvetica" w:hAnsi="Figtree" w:cs="Helvetica"/>
          <w:b w:val="0"/>
          <w:bCs w:val="0"/>
          <w:color w:val="000000" w:themeColor="text1"/>
          <w:sz w:val="22"/>
          <w:szCs w:val="22"/>
        </w:rPr>
        <w:t>representative organisations</w:t>
      </w:r>
      <w:r w:rsidRPr="00B4409D">
        <w:rPr>
          <w:rFonts w:ascii="Figtree" w:eastAsia="Helvetica" w:hAnsi="Figtree" w:cs="Helvetica"/>
          <w:color w:val="000000" w:themeColor="text1"/>
          <w:sz w:val="22"/>
          <w:szCs w:val="22"/>
        </w:rPr>
        <w:t xml:space="preserve"> to lead consultation and implementation</w:t>
      </w:r>
    </w:p>
    <w:p w14:paraId="0788EC8E" w14:textId="00FB9228" w:rsidR="009C4EB8" w:rsidRPr="00B4409D" w:rsidRDefault="2400BE69" w:rsidP="1FF1FC75">
      <w:pPr>
        <w:numPr>
          <w:ilvl w:val="0"/>
          <w:numId w:val="27"/>
        </w:numPr>
        <w:spacing w:before="100" w:beforeAutospacing="1" w:after="100" w:afterAutospacing="1"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 xml:space="preserve">Recognising and redressing </w:t>
      </w:r>
      <w:r w:rsidRPr="00B4409D">
        <w:rPr>
          <w:rStyle w:val="Strong"/>
          <w:rFonts w:ascii="Figtree" w:eastAsia="Helvetica" w:hAnsi="Figtree" w:cs="Helvetica"/>
          <w:b w:val="0"/>
          <w:bCs w:val="0"/>
          <w:color w:val="000000" w:themeColor="text1"/>
          <w:sz w:val="22"/>
          <w:szCs w:val="22"/>
        </w:rPr>
        <w:t>historic and ongoing harms</w:t>
      </w:r>
      <w:r w:rsidRPr="00B4409D">
        <w:rPr>
          <w:rFonts w:ascii="Figtree" w:eastAsia="Helvetica" w:hAnsi="Figtree" w:cs="Helvetica"/>
          <w:color w:val="000000" w:themeColor="text1"/>
          <w:sz w:val="22"/>
          <w:szCs w:val="22"/>
        </w:rPr>
        <w:t>, including reproductive violence and institutional abuse</w:t>
      </w:r>
      <w:r w:rsidR="1254A992" w:rsidRPr="00B4409D">
        <w:rPr>
          <w:rFonts w:ascii="Figtree" w:eastAsia="Helvetica" w:hAnsi="Figtree" w:cs="Helvetica"/>
          <w:color w:val="000000" w:themeColor="text1"/>
          <w:sz w:val="22"/>
          <w:szCs w:val="22"/>
        </w:rPr>
        <w:t>.</w:t>
      </w:r>
    </w:p>
    <w:p w14:paraId="637E0CFD" w14:textId="77777777" w:rsidR="0021725F" w:rsidRPr="00B4409D" w:rsidRDefault="2400BE69" w:rsidP="00251683">
      <w:pPr>
        <w:pStyle w:val="NormalWeb"/>
        <w:spacing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 xml:space="preserve">WWDA and PWDA reiterate that </w:t>
      </w:r>
      <w:r w:rsidRPr="00B4409D">
        <w:rPr>
          <w:rStyle w:val="Strong"/>
          <w:rFonts w:ascii="Figtree" w:eastAsia="Helvetica" w:hAnsi="Figtree" w:cs="Helvetica"/>
          <w:b w:val="0"/>
          <w:bCs w:val="0"/>
          <w:color w:val="000000" w:themeColor="text1"/>
          <w:sz w:val="22"/>
          <w:szCs w:val="22"/>
        </w:rPr>
        <w:t>trans-inclusive feminism</w:t>
      </w:r>
      <w:r w:rsidRPr="00B4409D">
        <w:rPr>
          <w:rFonts w:ascii="Figtree" w:eastAsia="Helvetica" w:hAnsi="Figtree" w:cs="Helvetica"/>
          <w:color w:val="000000" w:themeColor="text1"/>
          <w:sz w:val="22"/>
          <w:szCs w:val="22"/>
        </w:rPr>
        <w:t xml:space="preserve"> is integral to disability justice. The rights of all women and girls with disabilities—including those who are trans, intersex, non-binary, and gender-diverse—must be upheld with equal urgency, visibility, and respect.</w:t>
      </w:r>
    </w:p>
    <w:p w14:paraId="60B56B3E" w14:textId="4CA7FC12" w:rsidR="00F134F7" w:rsidRPr="00B4409D" w:rsidRDefault="6625E6D2" w:rsidP="00251683">
      <w:pPr>
        <w:pStyle w:val="NormalWeb"/>
        <w:spacing w:line="300" w:lineRule="atLeast"/>
        <w:rPr>
          <w:rFonts w:ascii="Figtree" w:eastAsia="Helvetica" w:hAnsi="Figtree" w:cs="Helvetica"/>
          <w:color w:val="000000" w:themeColor="text1"/>
          <w:sz w:val="22"/>
          <w:szCs w:val="22"/>
        </w:rPr>
      </w:pPr>
      <w:r w:rsidRPr="00B4409D">
        <w:rPr>
          <w:rFonts w:ascii="Figtree" w:eastAsia="Helvetica" w:hAnsi="Figtree" w:cs="Helvetica"/>
          <w:color w:val="000000" w:themeColor="text1"/>
          <w:sz w:val="22"/>
          <w:szCs w:val="22"/>
        </w:rPr>
        <w:t xml:space="preserve">We urge the Committee to adopt guidelines that are </w:t>
      </w:r>
      <w:r w:rsidRPr="00B4409D">
        <w:rPr>
          <w:rStyle w:val="Strong"/>
          <w:rFonts w:ascii="Figtree" w:eastAsia="Helvetica" w:hAnsi="Figtree" w:cs="Helvetica"/>
          <w:b w:val="0"/>
          <w:bCs w:val="0"/>
          <w:color w:val="000000" w:themeColor="text1"/>
          <w:sz w:val="22"/>
          <w:szCs w:val="22"/>
        </w:rPr>
        <w:t>bold, inclusive, and transformative</w:t>
      </w:r>
      <w:r w:rsidR="000E2F97" w:rsidRPr="00B4409D">
        <w:rPr>
          <w:rStyle w:val="Strong"/>
          <w:rFonts w:ascii="Figtree" w:eastAsia="Helvetica" w:hAnsi="Figtree" w:cs="Helvetica"/>
          <w:b w:val="0"/>
          <w:bCs w:val="0"/>
          <w:color w:val="000000" w:themeColor="text1"/>
          <w:sz w:val="22"/>
          <w:szCs w:val="22"/>
        </w:rPr>
        <w:t>.</w:t>
      </w:r>
    </w:p>
    <w:p w14:paraId="63EBA7E6" w14:textId="77777777" w:rsidR="00542787" w:rsidRDefault="00542787">
      <w:pPr>
        <w:spacing w:after="160" w:line="278" w:lineRule="auto"/>
        <w:rPr>
          <w:rFonts w:asciiTheme="majorHAnsi" w:eastAsiaTheme="majorEastAsia" w:hAnsiTheme="majorHAnsi" w:cstheme="majorBidi"/>
          <w:color w:val="0F4761" w:themeColor="accent1" w:themeShade="BF"/>
          <w:sz w:val="32"/>
          <w:szCs w:val="32"/>
        </w:rPr>
      </w:pPr>
      <w:r>
        <w:br w:type="page"/>
      </w:r>
    </w:p>
    <w:p w14:paraId="6560CB38" w14:textId="595D7F2A" w:rsidR="228E0351" w:rsidRPr="00B4409D" w:rsidRDefault="006A70C9" w:rsidP="00D22E01">
      <w:pPr>
        <w:pStyle w:val="Heading2"/>
        <w:rPr>
          <w:rFonts w:ascii="Figtree" w:hAnsi="Figtree"/>
        </w:rPr>
      </w:pPr>
      <w:r>
        <w:rPr>
          <w:rFonts w:ascii="Figtree" w:eastAsia="Helvetica" w:hAnsi="Figtree" w:cs="Helvetica"/>
          <w:b/>
          <w:bCs/>
          <w:color w:val="77206D" w:themeColor="accent5" w:themeShade="BF"/>
        </w:rPr>
        <w:lastRenderedPageBreak/>
        <w:t xml:space="preserve">Endnotes </w:t>
      </w:r>
    </w:p>
    <w:sectPr w:rsidR="228E0351" w:rsidRPr="00B4409D" w:rsidSect="008410E7">
      <w:headerReference w:type="default" r:id="rId10"/>
      <w:footerReference w:type="even" r:id="rId11"/>
      <w:footerReference w:type="default" r:id="rId12"/>
      <w:pgSz w:w="12240" w:h="15840"/>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C9188" w14:textId="77777777" w:rsidR="00FF1193" w:rsidRDefault="00FF1193" w:rsidP="00573D29">
      <w:r>
        <w:separator/>
      </w:r>
    </w:p>
  </w:endnote>
  <w:endnote w:type="continuationSeparator" w:id="0">
    <w:p w14:paraId="7BFFF653" w14:textId="77777777" w:rsidR="00FF1193" w:rsidRDefault="00FF1193" w:rsidP="00573D29">
      <w:r>
        <w:continuationSeparator/>
      </w:r>
    </w:p>
  </w:endnote>
  <w:endnote w:id="1">
    <w:p w14:paraId="72634823" w14:textId="6D7AD620" w:rsidR="00916CE6" w:rsidRPr="00B4409D" w:rsidRDefault="00916CE6" w:rsidP="007056AE">
      <w:pPr>
        <w:pStyle w:val="EndnoteText"/>
        <w:rPr>
          <w:rFonts w:ascii="Figtree" w:eastAsia="Helvetica" w:hAnsi="Figtree"/>
        </w:rPr>
      </w:pPr>
      <w:r w:rsidRPr="00B4409D">
        <w:rPr>
          <w:rStyle w:val="EndnoteReference"/>
          <w:rFonts w:ascii="Figtree" w:hAnsi="Figtree"/>
        </w:rPr>
        <w:endnoteRef/>
      </w:r>
      <w:r w:rsidRPr="00B4409D">
        <w:rPr>
          <w:rFonts w:ascii="Figtree" w:hAnsi="Figtree"/>
        </w:rPr>
        <w:t xml:space="preserve"> </w:t>
      </w:r>
      <w:r w:rsidRPr="00B4409D">
        <w:rPr>
          <w:rFonts w:ascii="Figtree" w:eastAsia="Helvetica" w:hAnsi="Figtree"/>
        </w:rPr>
        <w:t>WWDA is both a nationally recognised Disabled People’s Organisation (DPO) and National Women’s Alliance, uniquely positioned at the intersection of gender and disability advocacy. . WWDA’s work is informed by the Convention on the Rights of Persons with Disabilities (CRPD) and the Convention on the Elimination of All Forms of Discrimination Against Women (CEDAW), linking gender and disability to the full spectrum of civil, political, economic, social, and cultural rights.</w:t>
      </w:r>
    </w:p>
  </w:endnote>
  <w:endnote w:id="2">
    <w:p w14:paraId="3CE6DA60" w14:textId="2D218444" w:rsidR="00916CE6" w:rsidRPr="00B4409D" w:rsidRDefault="00916CE6" w:rsidP="007056AE">
      <w:pPr>
        <w:pStyle w:val="EndnoteText"/>
        <w:rPr>
          <w:rFonts w:ascii="Figtree" w:hAnsi="Figtree"/>
        </w:rPr>
      </w:pPr>
      <w:r w:rsidRPr="00B4409D">
        <w:rPr>
          <w:rStyle w:val="EndnoteReference"/>
          <w:rFonts w:ascii="Figtree" w:hAnsi="Figtree"/>
        </w:rPr>
        <w:endnoteRef/>
      </w:r>
      <w:r w:rsidRPr="00B4409D">
        <w:rPr>
          <w:rFonts w:ascii="Figtree" w:hAnsi="Figtree"/>
        </w:rPr>
        <w:t xml:space="preserve"> </w:t>
      </w:r>
      <w:r w:rsidR="00157710" w:rsidRPr="00B4409D">
        <w:rPr>
          <w:rFonts w:ascii="Figtree" w:eastAsia="Helvetica" w:hAnsi="Figtree"/>
        </w:rPr>
        <w:t>PWDA is Australia’s peak cross-disability Disability Representative Organisation (DRO). Funded by the Australian Government, PWDA represents all people with disability in Australia, including LGBTQIA+ people with disability. PWDA is governed by, and led by, people with disability.</w:t>
      </w:r>
      <w:r w:rsidR="007056AE" w:rsidRPr="00B4409D">
        <w:rPr>
          <w:rFonts w:ascii="Figtree" w:eastAsia="Helvetica" w:hAnsi="Figtree"/>
        </w:rPr>
        <w:t xml:space="preserve"> </w:t>
      </w:r>
      <w:r w:rsidR="00157710" w:rsidRPr="00B4409D">
        <w:rPr>
          <w:rFonts w:ascii="Figtree" w:eastAsia="Helvetica" w:hAnsi="Figtree"/>
        </w:rPr>
        <w:t>PWDA has played a pivotal role in shaping disability rights policy nationally and internationally, including contributing to the development and monitoring of the CRPD. Both organisations hold Special Consultative Status with the United Nations Economic and Social Council (ECOSOC).</w:t>
      </w:r>
    </w:p>
  </w:endnote>
  <w:endnote w:id="3">
    <w:p w14:paraId="176C728A" w14:textId="75C52691" w:rsidR="1FF1FC75" w:rsidRPr="00B4409D" w:rsidRDefault="1FF1FC75" w:rsidP="1FF1FC75">
      <w:pPr>
        <w:pStyle w:val="EndnoteText"/>
        <w:rPr>
          <w:rFonts w:ascii="Figtree" w:hAnsi="Figtree"/>
        </w:rPr>
      </w:pPr>
      <w:r w:rsidRPr="00B4409D">
        <w:rPr>
          <w:rStyle w:val="EndnoteReference"/>
          <w:rFonts w:ascii="Figtree" w:hAnsi="Figtree"/>
        </w:rPr>
        <w:endnoteRef/>
      </w:r>
      <w:r w:rsidRPr="00B4409D">
        <w:rPr>
          <w:rFonts w:ascii="Figtree" w:hAnsi="Figtree"/>
        </w:rPr>
        <w:t xml:space="preserve"> </w:t>
      </w:r>
      <w:r w:rsidRPr="00B4409D">
        <w:rPr>
          <w:rFonts w:ascii="Figtree" w:hAnsi="Figtree" w:cs="Segoe UI"/>
        </w:rPr>
        <w:t>https://pwd.org.au/media-release-disability-community-calls-for-reform-after-discrimination-claims-become-impossible-to-prove/</w:t>
      </w:r>
    </w:p>
  </w:endnote>
  <w:endnote w:id="4">
    <w:p w14:paraId="364732C8" w14:textId="27656EA8" w:rsidR="1FF1FC75" w:rsidRPr="00B4409D" w:rsidRDefault="1FF1FC75" w:rsidP="1FF1FC75">
      <w:pPr>
        <w:pStyle w:val="EndnoteText"/>
        <w:rPr>
          <w:rFonts w:ascii="Figtree" w:hAnsi="Figtree"/>
        </w:rPr>
      </w:pPr>
      <w:r w:rsidRPr="00B4409D">
        <w:rPr>
          <w:rStyle w:val="EndnoteReference"/>
          <w:rFonts w:ascii="Figtree" w:hAnsi="Figtree"/>
        </w:rPr>
        <w:endnoteRef/>
      </w:r>
      <w:r w:rsidRPr="00B4409D">
        <w:rPr>
          <w:rFonts w:ascii="Figtree" w:hAnsi="Figtree"/>
        </w:rPr>
        <w:t xml:space="preserve"> </w:t>
      </w:r>
      <w:hyperlink r:id="rId1">
        <w:r w:rsidRPr="00B4409D">
          <w:rPr>
            <w:rFonts w:ascii="Figtree" w:hAnsi="Figtree" w:cs="Segoe UI"/>
          </w:rPr>
          <w:t>Media Release: Reforming the Disability Discrimination Act following ...</w:t>
        </w:r>
      </w:hyperlink>
    </w:p>
  </w:endnote>
  <w:endnote w:id="5">
    <w:p w14:paraId="007B06F3" w14:textId="4BB6AF1D" w:rsidR="1FF1FC75" w:rsidRPr="00B4409D" w:rsidRDefault="1FF1FC75" w:rsidP="1FF1FC75">
      <w:pPr>
        <w:pStyle w:val="EndnoteText"/>
        <w:rPr>
          <w:rFonts w:ascii="Figtree" w:hAnsi="Figtree"/>
        </w:rPr>
      </w:pPr>
      <w:r w:rsidRPr="00B4409D">
        <w:rPr>
          <w:rStyle w:val="EndnoteReference"/>
          <w:rFonts w:ascii="Figtree" w:hAnsi="Figtree"/>
        </w:rPr>
        <w:endnoteRef/>
      </w:r>
      <w:r w:rsidRPr="00B4409D">
        <w:rPr>
          <w:rFonts w:ascii="Figtree" w:hAnsi="Figtree"/>
        </w:rPr>
        <w:t xml:space="preserve"> </w:t>
      </w:r>
      <w:hyperlink r:id="rId2">
        <w:r w:rsidRPr="00B4409D">
          <w:rPr>
            <w:rFonts w:ascii="Figtree" w:hAnsi="Figtree" w:cs="Segoe UI"/>
          </w:rPr>
          <w:t>Disability Rights Now: Shadow Report to the United Nations Committee on ...</w:t>
        </w:r>
      </w:hyperlink>
    </w:p>
  </w:endnote>
  <w:endnote w:id="6">
    <w:p w14:paraId="3C170E0F" w14:textId="5F786B61" w:rsidR="6E52703F" w:rsidRPr="00B4409D" w:rsidRDefault="6E52703F" w:rsidP="00532B20">
      <w:pPr>
        <w:pStyle w:val="EndnoteText"/>
        <w:rPr>
          <w:rFonts w:ascii="Figtree" w:hAnsi="Figtree"/>
          <w:lang w:val="en-US"/>
        </w:rPr>
      </w:pPr>
      <w:r w:rsidRPr="00B4409D">
        <w:rPr>
          <w:rStyle w:val="EndnoteReference"/>
          <w:rFonts w:ascii="Figtree" w:hAnsi="Figtree"/>
          <w:color w:val="000000" w:themeColor="text1"/>
          <w:lang w:val="en-US"/>
        </w:rPr>
        <w:endnoteRef/>
      </w:r>
      <w:r w:rsidRPr="00B4409D">
        <w:rPr>
          <w:rFonts w:ascii="Figtree" w:hAnsi="Figtree"/>
          <w:lang w:val="en-US"/>
        </w:rPr>
        <w:t xml:space="preserve"> Commonwealth of Australia, The Royal Commission into Violence, Abuse, Neglect and Exploitation of People with Disability, 2023.</w:t>
      </w:r>
    </w:p>
  </w:endnote>
  <w:endnote w:id="7">
    <w:p w14:paraId="2C740C1C" w14:textId="4CCBDBB0" w:rsidR="00F14A7A" w:rsidRPr="00B4409D" w:rsidRDefault="00F14A7A" w:rsidP="00532B20">
      <w:pPr>
        <w:pStyle w:val="EndnoteText"/>
        <w:rPr>
          <w:rFonts w:ascii="Figtree" w:hAnsi="Figtree"/>
        </w:rPr>
      </w:pPr>
      <w:r w:rsidRPr="00B4409D">
        <w:rPr>
          <w:rStyle w:val="EndnoteReference"/>
          <w:rFonts w:ascii="Figtree" w:hAnsi="Figtree"/>
        </w:rPr>
        <w:endnoteRef/>
      </w:r>
      <w:r w:rsidRPr="00B4409D">
        <w:rPr>
          <w:rFonts w:ascii="Figtree" w:hAnsi="Figtree"/>
        </w:rPr>
        <w:t xml:space="preserve"> </w:t>
      </w:r>
      <w:hyperlink r:id="rId3">
        <w:r w:rsidRPr="00B4409D">
          <w:rPr>
            <w:rStyle w:val="Hyperlink"/>
            <w:rFonts w:ascii="Figtree" w:eastAsia="Segoe UI" w:hAnsi="Figtree" w:cs="Segoe UI"/>
            <w:color w:val="000000" w:themeColor="text1"/>
            <w:u w:val="single"/>
            <w:lang w:val="en-US"/>
          </w:rPr>
          <w:t>https://wwda.org.au/our-resources/publication/strengthening-protection-of-the-rights-of-people-with-disability-through-a-national-human-rights-act-hra/</w:t>
        </w:r>
      </w:hyperlink>
    </w:p>
  </w:endnote>
  <w:endnote w:id="8">
    <w:p w14:paraId="58F79A52" w14:textId="61B06CF5" w:rsidR="6E52703F" w:rsidRPr="00B4409D" w:rsidRDefault="6E52703F" w:rsidP="00532B20">
      <w:pPr>
        <w:pStyle w:val="EndnoteText"/>
        <w:rPr>
          <w:rFonts w:ascii="Figtree" w:hAnsi="Figtree"/>
        </w:rPr>
      </w:pPr>
      <w:r w:rsidRPr="00B4409D">
        <w:rPr>
          <w:rStyle w:val="EndnoteReference"/>
          <w:rFonts w:ascii="Figtree" w:hAnsi="Figtree"/>
          <w:color w:val="000000" w:themeColor="text1"/>
        </w:rPr>
        <w:endnoteRef/>
      </w:r>
      <w:hyperlink r:id="rId4" w:history="1">
        <w:r w:rsidR="00D22E01" w:rsidRPr="00B4409D">
          <w:rPr>
            <w:rStyle w:val="Hyperlink"/>
            <w:rFonts w:ascii="Figtree" w:eastAsia="Segoe UI" w:hAnsi="Figtree" w:cs="Segoe UI"/>
            <w:color w:val="000000" w:themeColor="text1"/>
            <w:lang w:val="en-US"/>
          </w:rPr>
          <w:t>https://www.aph.gov.au/Parliamentary_Business/Committees/Joint/Human_Rights/HumanRightsFramework/Report</w:t>
        </w:r>
      </w:hyperlink>
    </w:p>
  </w:endnote>
  <w:endnote w:id="9">
    <w:p w14:paraId="5704A7B2" w14:textId="31EF609F" w:rsidR="228E0351" w:rsidRPr="00B4409D" w:rsidRDefault="228E0351" w:rsidP="00532B20">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t>
      </w:r>
      <w:r w:rsidRPr="00B4409D">
        <w:rPr>
          <w:rFonts w:ascii="Figtree" w:eastAsia="Segoe UI" w:hAnsi="Figtree" w:cs="Segoe UI"/>
          <w:lang w:val="en-US"/>
        </w:rPr>
        <w:t>Blackham, A., &amp; Temple, J. (2020). Intersectionality in Australian Discrimination Law: Achieving Substantive Equality for Women with Disability? UNSW Law Journal, 43(3), 775-776. Retrieved from [https://www.unswlawjournal.unsw.edu.au/wp-content/uploads/2020/09/02-BLACKHAM-AND-TEMPLE.pdf](https://www.unswlawjournal.unsw.edu.au/wp-content/uploads/2020/09/02-BLACKHAM-AND-TEMPLE.pdf).</w:t>
      </w:r>
    </w:p>
  </w:endnote>
  <w:endnote w:id="10">
    <w:p w14:paraId="324CF2A8" w14:textId="448E5B07" w:rsidR="228E0351" w:rsidRPr="00B4409D" w:rsidRDefault="228E0351" w:rsidP="00532B20">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t>
      </w:r>
      <w:hyperlink r:id="rId5">
        <w:r w:rsidRPr="00B4409D">
          <w:rPr>
            <w:rFonts w:ascii="Figtree" w:hAnsi="Figtree" w:cs="Segoe UI"/>
          </w:rPr>
          <w:t>Giggle v Tickle: The Appeal - womensforumaustralia.org;</w:t>
        </w:r>
      </w:hyperlink>
      <w:r w:rsidRPr="00B4409D">
        <w:rPr>
          <w:rFonts w:ascii="Figtree" w:hAnsi="Figtree"/>
        </w:rPr>
        <w:t xml:space="preserve"> Tickle v Giggle for Girls Pty Ltd (No 2) [2024] FCA 960</w:t>
      </w:r>
    </w:p>
  </w:endnote>
  <w:endnote w:id="11">
    <w:p w14:paraId="6AD51CAA" w14:textId="321643BC" w:rsidR="228E0351" w:rsidRPr="00B4409D" w:rsidRDefault="228E0351" w:rsidP="00532B20">
      <w:pPr>
        <w:pStyle w:val="EndnoteText"/>
        <w:rPr>
          <w:rFonts w:ascii="Figtree" w:eastAsia="Helvetica" w:hAnsi="Figtree" w:cs="Helvetica"/>
          <w:sz w:val="22"/>
          <w:szCs w:val="22"/>
        </w:rPr>
      </w:pPr>
      <w:r w:rsidRPr="00B4409D">
        <w:rPr>
          <w:rStyle w:val="EndnoteReference"/>
          <w:rFonts w:ascii="Figtree" w:hAnsi="Figtree"/>
          <w:color w:val="000000" w:themeColor="text1"/>
        </w:rPr>
        <w:endnoteRef/>
      </w:r>
      <w:r w:rsidRPr="00B4409D">
        <w:rPr>
          <w:rFonts w:ascii="Figtree" w:hAnsi="Figtree"/>
        </w:rPr>
        <w:t xml:space="preserve"> </w:t>
      </w:r>
      <w:r w:rsidRPr="00B4409D">
        <w:rPr>
          <w:rFonts w:ascii="Figtree" w:hAnsi="Figtree" w:cs="Segoe UI"/>
        </w:rPr>
        <w:t xml:space="preserve">Women with Disabilities Australia (WWDA) (2018). Submission to the Productivity Commission ‘National Disability Agreement Review’. August 2018. WWDA: Hobart, Tasmania. </w:t>
      </w:r>
      <w:r w:rsidR="481AF7C6" w:rsidRPr="00B4409D">
        <w:rPr>
          <w:rFonts w:ascii="Figtree" w:eastAsia="Helvetica" w:hAnsi="Figtree" w:cs="Helvetica"/>
          <w:sz w:val="22"/>
          <w:szCs w:val="22"/>
        </w:rPr>
        <w:t>Submissions from WWDA and PWDA highlight that gender-neutral approaches in disability policy perpetuate invisibility and exclusion. As WWDA notes, people with disability are often treated as “asexual, genderless human beings,” a framing that erases gendered experiences and entrenches discrimination.</w:t>
      </w:r>
    </w:p>
  </w:endnote>
  <w:endnote w:id="12">
    <w:p w14:paraId="5D0BAA8A" w14:textId="7FE6F883" w:rsidR="228E0351" w:rsidRPr="00B4409D" w:rsidRDefault="228E0351" w:rsidP="00532B20">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t>
      </w:r>
      <w:hyperlink r:id="rId6">
        <w:r w:rsidRPr="00B4409D">
          <w:rPr>
            <w:rFonts w:ascii="Figtree" w:hAnsi="Figtree" w:cs="Segoe UI"/>
          </w:rPr>
          <w:t>Concluding observations on the 8th periodic report of Australia</w:t>
        </w:r>
      </w:hyperlink>
    </w:p>
  </w:endnote>
  <w:endnote w:id="13">
    <w:p w14:paraId="04705FFC" w14:textId="34524EF6" w:rsidR="228E0351" w:rsidRPr="00B4409D" w:rsidRDefault="228E0351" w:rsidP="00532B20">
      <w:pPr>
        <w:pStyle w:val="EndnoteText"/>
        <w:rPr>
          <w:rFonts w:ascii="Figtree" w:hAnsi="Figtree" w:cs="Segoe UI"/>
        </w:rPr>
      </w:pPr>
      <w:r w:rsidRPr="00B4409D">
        <w:rPr>
          <w:rStyle w:val="EndnoteReference"/>
          <w:rFonts w:ascii="Figtree" w:hAnsi="Figtree"/>
          <w:color w:val="000000" w:themeColor="text1"/>
        </w:rPr>
        <w:endnoteRef/>
      </w:r>
      <w:r w:rsidRPr="00B4409D">
        <w:rPr>
          <w:rFonts w:ascii="Figtree" w:hAnsi="Figtree"/>
        </w:rPr>
        <w:t xml:space="preserve"> </w:t>
      </w:r>
      <w:hyperlink r:id="rId7">
        <w:r w:rsidRPr="00B4409D">
          <w:rPr>
            <w:rFonts w:ascii="Figtree" w:hAnsi="Figtree" w:cs="Segoe UI"/>
          </w:rPr>
          <w:t>Disability Rights Now: Shadow Report to the United Nations Committee on ...</w:t>
        </w:r>
      </w:hyperlink>
    </w:p>
  </w:endnote>
  <w:endnote w:id="14">
    <w:p w14:paraId="08E20668" w14:textId="77777777" w:rsidR="00CA5102" w:rsidRPr="00B4409D" w:rsidRDefault="00CA5102" w:rsidP="00532B20">
      <w:pPr>
        <w:pStyle w:val="EndnoteText"/>
        <w:rPr>
          <w:rFonts w:ascii="Figtree" w:hAnsi="Figtree"/>
        </w:rPr>
      </w:pPr>
      <w:r w:rsidRPr="00B4409D">
        <w:rPr>
          <w:rStyle w:val="EndnoteReference"/>
          <w:rFonts w:ascii="Figtree" w:hAnsi="Figtree"/>
        </w:rPr>
        <w:endnoteRef/>
      </w:r>
      <w:r w:rsidRPr="00B4409D">
        <w:rPr>
          <w:rFonts w:ascii="Figtree" w:hAnsi="Figtree"/>
        </w:rPr>
        <w:t xml:space="preserve"> https://www.un.org/development/desa/disabilities/convention-on-the-rights-of-persons-with-disabilities/article-31-statistics-and-data-collection.html</w:t>
      </w:r>
    </w:p>
  </w:endnote>
  <w:endnote w:id="15">
    <w:p w14:paraId="621C7CE0" w14:textId="1E87D26C" w:rsidR="00CA5102" w:rsidRPr="00B4409D" w:rsidRDefault="00CA5102" w:rsidP="00532B20">
      <w:pPr>
        <w:pStyle w:val="EndnoteText"/>
        <w:rPr>
          <w:rStyle w:val="EndnoteReference"/>
          <w:rFonts w:ascii="Figtree" w:hAnsi="Figtree"/>
          <w:sz w:val="22"/>
          <w:szCs w:val="22"/>
        </w:rPr>
      </w:pPr>
      <w:r w:rsidRPr="00B4409D">
        <w:rPr>
          <w:rStyle w:val="EndnoteReference"/>
          <w:rFonts w:ascii="Figtree" w:hAnsi="Figtree"/>
        </w:rPr>
        <w:endnoteRef/>
      </w:r>
      <w:r w:rsidRPr="00B4409D">
        <w:rPr>
          <w:rFonts w:ascii="Figtree" w:hAnsi="Figtree"/>
        </w:rPr>
        <w:t xml:space="preserve"> </w:t>
      </w:r>
      <w:hyperlink r:id="rId8" w:history="1">
        <w:r w:rsidR="481AF7C6" w:rsidRPr="00B4409D">
          <w:rPr>
            <w:rFonts w:ascii="Figtree" w:hAnsi="Figtree" w:cs="Segoe UI"/>
          </w:rPr>
          <w:t>Disability Rights Now: Shadow Report to the United Nations Committee on ...</w:t>
        </w:r>
        <w:r w:rsidRPr="00B4409D">
          <w:rPr>
            <w:rFonts w:ascii="Figtree" w:hAnsi="Figtree" w:cs="Segoe UI"/>
          </w:rPr>
          <w:t xml:space="preserve"> </w:t>
        </w:r>
      </w:hyperlink>
      <w:r w:rsidR="00B04A74" w:rsidRPr="00B4409D">
        <w:rPr>
          <w:rFonts w:ascii="Figtree" w:hAnsi="Figtree"/>
        </w:rPr>
        <w:t xml:space="preserve">For </w:t>
      </w:r>
      <w:r w:rsidR="00FE5360" w:rsidRPr="00B4409D">
        <w:rPr>
          <w:rFonts w:ascii="Figtree" w:hAnsi="Figtree"/>
        </w:rPr>
        <w:t>example</w:t>
      </w:r>
      <w:r w:rsidRPr="00B4409D">
        <w:rPr>
          <w:rFonts w:ascii="Figtree" w:hAnsi="Figtree"/>
        </w:rPr>
        <w:t xml:space="preserve">, </w:t>
      </w:r>
      <w:r w:rsidR="481AF7C6" w:rsidRPr="00B4409D">
        <w:rPr>
          <w:rFonts w:ascii="Figtree" w:hAnsi="Figtree"/>
          <w:sz w:val="22"/>
          <w:szCs w:val="22"/>
        </w:rPr>
        <w:t>WWDA’s submission to the Gender Economic Equality Study highlights that the lack of data on workforce participation by gender and disability obscures disparities and breaches CRPD Articles 6 and 31. Key gaps include the absence of disability pay gap reporting by the Workplace Gender Equality Agency (WGEA) and the lack of gender-specific employment targets in Australia’s Disability Strategy 2021–2031.</w:t>
      </w:r>
    </w:p>
  </w:endnote>
  <w:endnote w:id="16">
    <w:p w14:paraId="57EC5254" w14:textId="6EBA5A97" w:rsidR="00CA5102" w:rsidRPr="00B4409D" w:rsidRDefault="00CA5102" w:rsidP="00532B20">
      <w:pPr>
        <w:pStyle w:val="EndnoteText"/>
        <w:rPr>
          <w:rFonts w:ascii="Figtree" w:hAnsi="Figtree"/>
        </w:rPr>
      </w:pPr>
      <w:r w:rsidRPr="00B4409D">
        <w:rPr>
          <w:rStyle w:val="EndnoteReference"/>
          <w:rFonts w:ascii="Figtree" w:hAnsi="Figtree"/>
        </w:rPr>
        <w:endnoteRef/>
      </w:r>
      <w:r w:rsidRPr="00B4409D">
        <w:rPr>
          <w:rFonts w:ascii="Figtree" w:hAnsi="Figtree"/>
        </w:rPr>
        <w:t xml:space="preserve"> </w:t>
      </w:r>
      <w:hyperlink r:id="rId9" w:history="1">
        <w:r w:rsidRPr="00B4409D">
          <w:rPr>
            <w:rFonts w:ascii="Figtree" w:hAnsi="Figtree" w:cs="Segoe UI"/>
          </w:rPr>
          <w:t>A/HRC/47/27: The law of inclusion - Report of the Independent Expert on ...</w:t>
        </w:r>
      </w:hyperlink>
    </w:p>
  </w:endnote>
  <w:endnote w:id="17">
    <w:p w14:paraId="6AE6B1B8" w14:textId="48D11B98" w:rsidR="00D73CF4" w:rsidRPr="00B4409D" w:rsidRDefault="00D73CF4" w:rsidP="00532B20">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t>
      </w:r>
      <w:hyperlink r:id="rId10" w:history="1">
        <w:r w:rsidRPr="00B4409D">
          <w:rPr>
            <w:rFonts w:ascii="Figtree" w:hAnsi="Figtree" w:cs="Segoe UI"/>
          </w:rPr>
          <w:t>General comment No.6 on equality and non-discrimination</w:t>
        </w:r>
      </w:hyperlink>
    </w:p>
  </w:endnote>
  <w:endnote w:id="18">
    <w:p w14:paraId="30802A78" w14:textId="6994EA4A" w:rsidR="481AF7C6" w:rsidRPr="00B4409D" w:rsidRDefault="481AF7C6" w:rsidP="00532B20">
      <w:pPr>
        <w:pStyle w:val="EndnoteText"/>
        <w:rPr>
          <w:rFonts w:ascii="Figtree" w:eastAsia="Helvetica" w:hAnsi="Figtree" w:cs="Helvetica"/>
          <w:sz w:val="22"/>
          <w:szCs w:val="22"/>
        </w:rPr>
      </w:pPr>
      <w:r w:rsidRPr="00B4409D">
        <w:rPr>
          <w:rStyle w:val="EndnoteReference"/>
          <w:rFonts w:ascii="Figtree" w:hAnsi="Figtree"/>
        </w:rPr>
        <w:endnoteRef/>
      </w:r>
      <w:r w:rsidRPr="00B4409D">
        <w:rPr>
          <w:rFonts w:ascii="Figtree" w:hAnsi="Figtree"/>
        </w:rPr>
        <w:t xml:space="preserve"> </w:t>
      </w:r>
      <w:r w:rsidRPr="00B4409D">
        <w:rPr>
          <w:rFonts w:ascii="Figtree" w:eastAsia="Helvetica" w:hAnsi="Figtree" w:cs="Helvetica"/>
          <w:sz w:val="22"/>
          <w:szCs w:val="22"/>
        </w:rPr>
        <w:t>As WWDA has stated:</w:t>
      </w:r>
    </w:p>
    <w:p w14:paraId="4259BCE4" w14:textId="43252640" w:rsidR="481AF7C6" w:rsidRPr="00B4409D" w:rsidRDefault="481AF7C6" w:rsidP="00532B20">
      <w:pPr>
        <w:pStyle w:val="EndnoteText"/>
        <w:rPr>
          <w:rStyle w:val="EndnoteReference"/>
          <w:rFonts w:ascii="Figtree" w:eastAsia="Helvetica" w:hAnsi="Figtree" w:cs="Helvetica"/>
          <w:color w:val="000000" w:themeColor="text1"/>
        </w:rPr>
      </w:pPr>
      <w:r w:rsidRPr="00B4409D">
        <w:rPr>
          <w:rFonts w:ascii="Figtree" w:eastAsia="Helvetica" w:hAnsi="Figtree" w:cs="Helvetica"/>
        </w:rPr>
        <w:t>“Intersectional discrimination recognises that women and girls with disability do not experience discrimination as members of a homogenous group but rather, as individuals with multidimensional layers of identities, statuses and life circumstances… the heightened disadvantage… caused by multiple and intersecting forms of discrimination, which requires targeted and additional measures.”</w:t>
      </w:r>
    </w:p>
  </w:endnote>
  <w:endnote w:id="19">
    <w:p w14:paraId="7007D008" w14:textId="3D333F4A" w:rsidR="00F51D4B" w:rsidRPr="00B4409D" w:rsidRDefault="00F51D4B" w:rsidP="00532B20">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t>
      </w:r>
      <w:r w:rsidR="00AB4103" w:rsidRPr="00B4409D">
        <w:rPr>
          <w:rFonts w:ascii="Figtree" w:hAnsi="Figtree" w:cs="Segoe UI"/>
        </w:rPr>
        <w:t xml:space="preserve">WWDA Submission to inform Fourth Action Plan (2019-2022) of the National Plan to Reduce Violence Against Women and Their Children 2010-2022 and the development of a National Plan beyond 2021, December 2018, </w:t>
      </w:r>
      <w:r w:rsidRPr="00B4409D">
        <w:rPr>
          <w:rFonts w:ascii="Figtree" w:hAnsi="Figtree" w:cs="Segoe UI"/>
        </w:rPr>
        <w:t>p. 20</w:t>
      </w:r>
    </w:p>
  </w:endnote>
  <w:endnote w:id="20">
    <w:p w14:paraId="31564D6E" w14:textId="005769C9" w:rsidR="00AB4103" w:rsidRPr="00B4409D" w:rsidRDefault="00AB4103" w:rsidP="00532B20">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t>
      </w:r>
      <w:r w:rsidRPr="00B4409D">
        <w:rPr>
          <w:rFonts w:ascii="Figtree" w:hAnsi="Figtree" w:cs="Segoe UI"/>
        </w:rPr>
        <w:t>WWDA Submission to inform Fourth Action Plan (2019-2022) of the National Plan to Reduce Violence Against Women and Their Children 2010-2022 and the development of a National Plan beyond 2021, December 2018, p. 14</w:t>
      </w:r>
    </w:p>
  </w:endnote>
  <w:endnote w:id="21">
    <w:p w14:paraId="5084F490" w14:textId="4B86E0D1" w:rsidR="6E52703F" w:rsidRPr="00B4409D" w:rsidRDefault="6E52703F" w:rsidP="00532B20">
      <w:pPr>
        <w:pStyle w:val="EndnoteText"/>
        <w:rPr>
          <w:rFonts w:ascii="Figtree" w:eastAsia="Segoe UI" w:hAnsi="Figtree" w:cs="Segoe UI"/>
          <w:lang w:val="en-US"/>
        </w:rPr>
      </w:pPr>
      <w:r w:rsidRPr="00B4409D">
        <w:rPr>
          <w:rStyle w:val="EndnoteReference"/>
          <w:rFonts w:ascii="Figtree" w:hAnsi="Figtree"/>
          <w:color w:val="000000" w:themeColor="text1"/>
        </w:rPr>
        <w:endnoteRef/>
      </w:r>
      <w:r w:rsidRPr="00B4409D">
        <w:rPr>
          <w:rFonts w:ascii="Figtree" w:hAnsi="Figtree"/>
        </w:rPr>
        <w:t xml:space="preserve"> </w:t>
      </w:r>
      <w:hyperlink r:id="rId11">
        <w:r w:rsidRPr="00B4409D">
          <w:rPr>
            <w:rStyle w:val="Hyperlink"/>
            <w:rFonts w:ascii="Figtree" w:eastAsia="Segoe UI" w:hAnsi="Figtree" w:cs="Segoe UI"/>
            <w:color w:val="000000" w:themeColor="text1"/>
            <w:lang w:val="en-US"/>
          </w:rPr>
          <w:t>https://alhr.org.au/wp/wp-content/uploads/2023/11/Reduced-Welcoming-Disability-Submission-to-DoH-2023-ReviewF4.docx.pdf</w:t>
        </w:r>
      </w:hyperlink>
    </w:p>
  </w:endnote>
  <w:endnote w:id="22">
    <w:p w14:paraId="3F797F0B" w14:textId="6054654B" w:rsidR="00854424" w:rsidRPr="00B4409D" w:rsidRDefault="00854424" w:rsidP="00532B20">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Women With Disabilities Australia (WWDA) (2023) ‘Accessing Formal Supports in Australia: The Experiences of Culturally and Linguistically Diverse Women with Disabilities.’ Prepared by Georgia Scott for and on behalf of Women With Disabilities Australia (WWDA), Harmony Alliance and the National Ethnic Disability Alliance (NEDA), December 2023. WWDA: Hobart, Tasmania, p. 9</w:t>
      </w:r>
    </w:p>
  </w:endnote>
  <w:endnote w:id="23">
    <w:p w14:paraId="6A78D654" w14:textId="74622968" w:rsidR="00854424" w:rsidRPr="00B4409D" w:rsidRDefault="00854424" w:rsidP="00532B20">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t>
      </w:r>
      <w:r w:rsidRPr="00B4409D">
        <w:rPr>
          <w:rFonts w:ascii="Figtree" w:hAnsi="Figtree" w:cs="Segoe UI"/>
        </w:rPr>
        <w:t xml:space="preserve">UN Special Rapporteur on Torture (2016), “Report on Forced Medical Interventions,” A/HRC/31/57, para. 48. </w:t>
      </w:r>
      <w:hyperlink r:id="rId12" w:history="1">
        <w:r w:rsidRPr="00B4409D">
          <w:rPr>
            <w:rFonts w:ascii="Figtree" w:hAnsi="Figtree" w:cs="Segoe UI"/>
          </w:rPr>
          <w:t>Link</w:t>
        </w:r>
      </w:hyperlink>
    </w:p>
  </w:endnote>
  <w:endnote w:id="24">
    <w:p w14:paraId="2180AA6E" w14:textId="25C4BB23" w:rsidR="00126507" w:rsidRPr="00B4409D" w:rsidRDefault="00126507" w:rsidP="00532B20">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t>
      </w:r>
      <w:r w:rsidRPr="00B4409D">
        <w:rPr>
          <w:rFonts w:ascii="Figtree" w:hAnsi="Figtree" w:cs="Segoe UI"/>
        </w:rPr>
        <w:t>Prevention of Violence Against Women and Girls with Disabilities, p.4; The Status of Women and Girls with Disability in Australia, p.9</w:t>
      </w:r>
    </w:p>
  </w:endnote>
  <w:endnote w:id="25">
    <w:p w14:paraId="745DD45B" w14:textId="4E253B5B" w:rsidR="00126507" w:rsidRPr="00B4409D" w:rsidRDefault="00126507" w:rsidP="00532B20">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t>
      </w:r>
      <w:r w:rsidRPr="00B4409D">
        <w:rPr>
          <w:rFonts w:ascii="Figtree" w:hAnsi="Figtree" w:cs="Segoe UI"/>
        </w:rPr>
        <w:t>Prevention of Violence Against Women and Girls with Disabilities, p.3–4</w:t>
      </w:r>
    </w:p>
  </w:endnote>
  <w:endnote w:id="26">
    <w:p w14:paraId="6A7FB133" w14:textId="56070E17" w:rsidR="00126507" w:rsidRPr="00B4409D" w:rsidRDefault="00126507" w:rsidP="00532B20">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t>
      </w:r>
      <w:r w:rsidRPr="00B4409D">
        <w:rPr>
          <w:rFonts w:ascii="Figtree" w:hAnsi="Figtree" w:cs="Segoe UI"/>
        </w:rPr>
        <w:t>CRPD General Comment No. 3, para. 31; CRPD General Comment No. 6</w:t>
      </w:r>
    </w:p>
  </w:endnote>
  <w:endnote w:id="27">
    <w:p w14:paraId="38563892" w14:textId="3CE7F34E" w:rsidR="00126507" w:rsidRPr="00B4409D" w:rsidRDefault="00126507" w:rsidP="00532B20">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t>
      </w:r>
      <w:r w:rsidRPr="00B4409D">
        <w:rPr>
          <w:rFonts w:ascii="Figtree" w:hAnsi="Figtree" w:cs="Segoe UI"/>
        </w:rPr>
        <w:t>Leonard, W., Lyons, A., &amp; Bariola, E. (2015). Private Lives 2: Mental Health of LGBT Australians with Disability, La Trobe University</w:t>
      </w:r>
    </w:p>
  </w:endnote>
  <w:endnote w:id="28">
    <w:p w14:paraId="022D1766" w14:textId="77777777" w:rsidR="00542787" w:rsidRPr="00B4409D" w:rsidRDefault="00542787" w:rsidP="00532B20">
      <w:pPr>
        <w:pStyle w:val="EndnoteText"/>
        <w:rPr>
          <w:rFonts w:ascii="Figtree" w:hAnsi="Figtree"/>
        </w:rPr>
      </w:pPr>
      <w:r w:rsidRPr="00B4409D">
        <w:rPr>
          <w:rStyle w:val="EndnoteReference"/>
          <w:rFonts w:ascii="Figtree" w:hAnsi="Figtree"/>
          <w:color w:val="000000" w:themeColor="text1"/>
          <w:lang w:val="en-US"/>
        </w:rPr>
        <w:endnoteRef/>
      </w:r>
      <w:r w:rsidRPr="00B4409D">
        <w:rPr>
          <w:rFonts w:ascii="Figtree" w:hAnsi="Figtree"/>
          <w:lang w:val="en-US"/>
        </w:rPr>
        <w:t xml:space="preserve"> Women With Disabilities Australia, Submission to Next Steps in Supported Employment: Consultation on the way forward, July 2025.</w:t>
      </w:r>
    </w:p>
  </w:endnote>
  <w:endnote w:id="29">
    <w:p w14:paraId="57527C80" w14:textId="7F5EB7FC" w:rsidR="00126507" w:rsidRPr="00B4409D" w:rsidRDefault="00126507" w:rsidP="00532B20">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t>
      </w:r>
      <w:r w:rsidRPr="00B4409D">
        <w:rPr>
          <w:rFonts w:ascii="Figtree" w:hAnsi="Figtree" w:cs="Segoe UI"/>
        </w:rPr>
        <w:t>WWDA Submission – NDIS: An Ordinary Life, 2021</w:t>
      </w:r>
    </w:p>
  </w:endnote>
  <w:endnote w:id="30">
    <w:p w14:paraId="10EF3841" w14:textId="517D8755" w:rsidR="00126507" w:rsidRPr="00B4409D" w:rsidRDefault="00126507" w:rsidP="00532B20">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t>
      </w:r>
      <w:r w:rsidRPr="00B4409D">
        <w:rPr>
          <w:rFonts w:ascii="Figtree" w:hAnsi="Figtree" w:cs="Segoe UI"/>
        </w:rPr>
        <w:t>The Status of Women and Girls with Disability in Australia, p.51</w:t>
      </w:r>
    </w:p>
  </w:endnote>
  <w:endnote w:id="31">
    <w:p w14:paraId="72DF2FF8" w14:textId="712DED04" w:rsidR="00126507" w:rsidRPr="00B4409D" w:rsidRDefault="00126507" w:rsidP="00532B20">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t>
      </w:r>
      <w:r w:rsidRPr="00B4409D">
        <w:rPr>
          <w:rFonts w:ascii="Figtree" w:hAnsi="Figtree" w:cs="Segoe UI"/>
        </w:rPr>
        <w:t>WWDA Position Statement 3: Participation, p.7</w:t>
      </w:r>
    </w:p>
  </w:endnote>
  <w:endnote w:id="32">
    <w:p w14:paraId="52C5FB3E" w14:textId="627A2080" w:rsidR="001376BC" w:rsidRPr="00B4409D" w:rsidRDefault="001376BC" w:rsidP="00532B20">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t>
      </w:r>
      <w:r w:rsidRPr="00B4409D">
        <w:rPr>
          <w:rFonts w:ascii="Figtree" w:hAnsi="Figtree" w:cs="Segoe UI"/>
        </w:rPr>
        <w:t>The Status of Women and Girls with Disability in Australia, p.12–13</w:t>
      </w:r>
    </w:p>
  </w:endnote>
  <w:endnote w:id="33">
    <w:p w14:paraId="4509450E" w14:textId="4499BF09" w:rsidR="001376BC" w:rsidRPr="00B4409D" w:rsidRDefault="001376BC" w:rsidP="00532B20">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t>
      </w:r>
      <w:r w:rsidRPr="00B4409D">
        <w:rPr>
          <w:rFonts w:ascii="Figtree" w:hAnsi="Figtree" w:cs="Segoe UI"/>
        </w:rPr>
        <w:t>Egale &amp; ARCH Disability Law Centre (2020). Access to Care, Access to Justice: Trans People with Disabilities in Health and Legal Systems</w:t>
      </w:r>
    </w:p>
  </w:endnote>
  <w:endnote w:id="34">
    <w:p w14:paraId="5C8083D9" w14:textId="430BB7E7" w:rsidR="6E52703F" w:rsidRPr="00B4409D" w:rsidRDefault="6E52703F" w:rsidP="00532B20">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t>
      </w:r>
      <w:hyperlink r:id="rId13">
        <w:r w:rsidRPr="00B4409D">
          <w:rPr>
            <w:rStyle w:val="Hyperlink"/>
            <w:rFonts w:ascii="Figtree" w:eastAsia="Segoe UI" w:hAnsi="Figtree" w:cs="Segoe UI"/>
            <w:color w:val="000000" w:themeColor="text1"/>
            <w:lang w:val="en-US"/>
          </w:rPr>
          <w:t>WWDA’s Position Statement: Human Rights Act</w:t>
        </w:r>
      </w:hyperlink>
    </w:p>
  </w:endnote>
  <w:endnote w:id="35">
    <w:p w14:paraId="2AB69F72" w14:textId="37DE53BF" w:rsidR="6E52703F" w:rsidRPr="00B4409D" w:rsidRDefault="6E52703F" w:rsidP="00532B20">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t>
      </w:r>
      <w:hyperlink r:id="rId14">
        <w:r w:rsidRPr="00B4409D">
          <w:rPr>
            <w:rStyle w:val="Hyperlink"/>
            <w:rFonts w:ascii="Figtree" w:eastAsia="Segoe UI" w:hAnsi="Figtree" w:cs="Segoe UI"/>
            <w:color w:val="000000" w:themeColor="text1"/>
            <w:lang w:val="en-US"/>
          </w:rPr>
          <w:t>Independent Expert on sexual orientation and gender identity.</w:t>
        </w:r>
      </w:hyperlink>
    </w:p>
  </w:endnote>
  <w:endnote w:id="36">
    <w:p w14:paraId="37F5400B" w14:textId="0F2C9264" w:rsidR="6E52703F" w:rsidRPr="00B4409D" w:rsidRDefault="6E52703F" w:rsidP="00532B20">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t>
      </w:r>
      <w:hyperlink r:id="rId15">
        <w:r w:rsidRPr="00B4409D">
          <w:rPr>
            <w:rStyle w:val="Hyperlink"/>
            <w:rFonts w:ascii="Figtree" w:eastAsia="Segoe UI" w:hAnsi="Figtree" w:cs="Segoe UI"/>
            <w:color w:val="000000" w:themeColor="text1"/>
            <w:lang w:val="en-US"/>
          </w:rPr>
          <w:t>Redressing Reproductive Violence Against Women with Disability: Justice ...</w:t>
        </w:r>
      </w:hyperlink>
    </w:p>
  </w:endnote>
  <w:endnote w:id="37">
    <w:p w14:paraId="535CE454" w14:textId="544B41A1" w:rsidR="6E52703F" w:rsidRPr="00B4409D" w:rsidRDefault="6E52703F" w:rsidP="00532B20">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t>
      </w:r>
      <w:hyperlink r:id="rId16">
        <w:r w:rsidRPr="00B4409D">
          <w:rPr>
            <w:rStyle w:val="Hyperlink"/>
            <w:rFonts w:ascii="Figtree" w:eastAsia="Segoe UI" w:hAnsi="Figtree" w:cs="Segoe UI"/>
            <w:color w:val="000000" w:themeColor="text1"/>
            <w:lang w:val="en-US"/>
          </w:rPr>
          <w:t>WWDA Submission to the Review to Inform a Better and Fairer Education ...;</w:t>
        </w:r>
      </w:hyperlink>
      <w:r w:rsidRPr="00B4409D">
        <w:rPr>
          <w:rFonts w:ascii="Figtree" w:eastAsia="Segoe UI" w:hAnsi="Figtree" w:cs="Segoe UI"/>
          <w:lang w:val="en-US"/>
        </w:rPr>
        <w:t xml:space="preserve">  </w:t>
      </w:r>
      <w:hyperlink r:id="rId17">
        <w:r w:rsidRPr="00B4409D">
          <w:rPr>
            <w:rStyle w:val="Hyperlink"/>
            <w:rFonts w:ascii="Figtree" w:eastAsia="Segoe UI" w:hAnsi="Figtree" w:cs="Segoe UI"/>
            <w:color w:val="000000" w:themeColor="text1"/>
            <w:lang w:val="en-US"/>
          </w:rPr>
          <w:t>Submission on International Disability Equity and Rights Strategy</w:t>
        </w:r>
      </w:hyperlink>
    </w:p>
  </w:endnote>
  <w:endnote w:id="38">
    <w:p w14:paraId="06E6AEA9" w14:textId="315CD36F" w:rsidR="6E52703F" w:rsidRPr="00B4409D" w:rsidRDefault="6E52703F" w:rsidP="00532B20">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t>
      </w:r>
      <w:r w:rsidRPr="00B4409D">
        <w:rPr>
          <w:rFonts w:ascii="Figtree" w:eastAsia="Segoe UI" w:hAnsi="Figtree" w:cs="Segoe UI"/>
          <w:lang w:val="en-US"/>
        </w:rPr>
        <w:t>general-comments-and-recommendations/general-comment-no7-article-43-and-333-participation"</w:t>
      </w:r>
      <w:hyperlink r:id="rId18">
        <w:r w:rsidRPr="00B4409D">
          <w:rPr>
            <w:rStyle w:val="Hyperlink"/>
            <w:rFonts w:ascii="Figtree" w:eastAsia="Segoe UI" w:hAnsi="Figtree" w:cs="Segoe UI"/>
            <w:color w:val="000000" w:themeColor="text1"/>
            <w:lang w:val="en-US"/>
          </w:rPr>
          <w:t xml:space="preserve"> the participation of ...</w:t>
        </w:r>
      </w:hyperlink>
    </w:p>
  </w:endnote>
  <w:endnote w:id="39">
    <w:p w14:paraId="2773E7A6" w14:textId="5EBAAFB3" w:rsidR="6E52703F" w:rsidRPr="00B4409D" w:rsidRDefault="6E52703F" w:rsidP="00532B20">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t>
      </w:r>
      <w:hyperlink r:id="rId19">
        <w:r w:rsidRPr="00B4409D">
          <w:rPr>
            <w:rStyle w:val="Hyperlink"/>
            <w:rFonts w:ascii="Figtree" w:eastAsia="Segoe UI" w:hAnsi="Figtree" w:cs="Segoe UI"/>
            <w:color w:val="000000" w:themeColor="text1"/>
            <w:lang w:val="en-US"/>
          </w:rPr>
          <w:t>What we do: employment | Inclusive Futures</w:t>
        </w:r>
      </w:hyperlink>
    </w:p>
  </w:endnote>
  <w:endnote w:id="40">
    <w:p w14:paraId="28DB57AE" w14:textId="17B8B7A8" w:rsidR="00916CE6" w:rsidRPr="00B4409D" w:rsidRDefault="481AF7C6" w:rsidP="00086553">
      <w:pPr>
        <w:pStyle w:val="EndnoteText"/>
        <w:rPr>
          <w:rFonts w:ascii="Figtree" w:hAnsi="Figtree"/>
        </w:rPr>
      </w:pPr>
      <w:r w:rsidRPr="00B4409D">
        <w:rPr>
          <w:rStyle w:val="EndnoteReference"/>
          <w:rFonts w:ascii="Figtree" w:hAnsi="Figtree"/>
          <w:color w:val="000000" w:themeColor="text1"/>
        </w:rPr>
        <w:endnoteRef/>
      </w:r>
      <w:r w:rsidRPr="00B4409D">
        <w:rPr>
          <w:rFonts w:ascii="Figtree" w:hAnsi="Figtree"/>
        </w:rPr>
        <w:t xml:space="preserve"> </w:t>
      </w:r>
      <w:hyperlink r:id="rId20">
        <w:r w:rsidRPr="00B4409D">
          <w:rPr>
            <w:rStyle w:val="Hyperlink"/>
            <w:rFonts w:ascii="Figtree" w:eastAsia="Segoe UI" w:hAnsi="Figtree" w:cs="Segoe UI"/>
            <w:color w:val="000000" w:themeColor="text1"/>
            <w:lang w:val="en-US"/>
          </w:rPr>
          <w:t>https://www.genderequalitycommission.vic.gov.au/applying-intersectionality</w:t>
        </w:r>
      </w:hyperlink>
    </w:p>
    <w:p w14:paraId="76FC1748" w14:textId="77777777" w:rsidR="00916CE6" w:rsidRPr="00916CE6" w:rsidRDefault="00916CE6" w:rsidP="00532B20">
      <w:pPr>
        <w:pStyle w:val="EndnoteText"/>
        <w:rPr>
          <w:rFonts w:eastAsia="Segoe UI" w:cs="Segoe U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Figtree">
    <w:panose1 w:val="020B0604020202020204"/>
    <w:charset w:val="00"/>
    <w:family w:val="auto"/>
    <w:pitch w:val="variable"/>
    <w:sig w:usb0="A000006F" w:usb1="00000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6293820"/>
      <w:docPartObj>
        <w:docPartGallery w:val="Page Numbers (Bottom of Page)"/>
        <w:docPartUnique/>
      </w:docPartObj>
    </w:sdtPr>
    <w:sdtContent>
      <w:p w14:paraId="1AAEA955" w14:textId="397AB7BA" w:rsidR="00573D29" w:rsidRDefault="00573D29" w:rsidP="000B2F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8B7905" w14:textId="77777777" w:rsidR="00573D29" w:rsidRDefault="00573D29" w:rsidP="00573D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19AA" w14:textId="01F88233" w:rsidR="00573D29" w:rsidRDefault="000B2F0D" w:rsidP="00573D29">
    <w:pPr>
      <w:pStyle w:val="Footer"/>
      <w:ind w:right="360"/>
    </w:pPr>
    <w:r>
      <w:rPr>
        <w:rFonts w:ascii="Figtree" w:eastAsia="Figtree" w:hAnsi="Figtree" w:cs="Figtree"/>
      </w:rPr>
      <w:tab/>
    </w:r>
    <w:r>
      <w:rPr>
        <w:rFonts w:ascii="Figtree" w:eastAsia="Figtree" w:hAnsi="Figtree" w:cs="Figtree"/>
      </w:rPr>
      <w:tab/>
    </w:r>
    <w:r>
      <w:rPr>
        <w:rFonts w:ascii="Figtree" w:eastAsia="Figtree" w:hAnsi="Figtree" w:cs="Figtree"/>
      </w:rPr>
      <w:tab/>
    </w:r>
    <w:r>
      <w:rPr>
        <w:rFonts w:ascii="Figtree" w:eastAsia="Figtree" w:hAnsi="Figtree" w:cs="Figtree"/>
      </w:rPr>
      <w:tab/>
    </w:r>
    <w:r>
      <w:rPr>
        <w:rFonts w:ascii="Figtree" w:eastAsia="Figtree" w:hAnsi="Figtree" w:cs="Figtree"/>
      </w:rPr>
      <w:fldChar w:fldCharType="begin"/>
    </w:r>
    <w:r>
      <w:rPr>
        <w:rFonts w:ascii="Figtree" w:eastAsia="Figtree" w:hAnsi="Figtree" w:cs="Figtree"/>
      </w:rPr>
      <w:instrText>PAGE</w:instrText>
    </w:r>
    <w:r>
      <w:rPr>
        <w:rFonts w:ascii="Figtree" w:eastAsia="Figtree" w:hAnsi="Figtree" w:cs="Figtree"/>
      </w:rPr>
      <w:fldChar w:fldCharType="separate"/>
    </w:r>
    <w:r>
      <w:rPr>
        <w:rFonts w:ascii="Figtree" w:eastAsia="Figtree" w:hAnsi="Figtree" w:cs="Figtree"/>
      </w:rPr>
      <w:t>1</w:t>
    </w:r>
    <w:r>
      <w:rPr>
        <w:rFonts w:ascii="Figtree" w:eastAsia="Figtree" w:hAnsi="Figtree" w:cs="Figtre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D2C64" w14:textId="77777777" w:rsidR="00FF1193" w:rsidRDefault="00FF1193" w:rsidP="00573D29">
      <w:r>
        <w:separator/>
      </w:r>
    </w:p>
  </w:footnote>
  <w:footnote w:type="continuationSeparator" w:id="0">
    <w:p w14:paraId="70BE8007" w14:textId="77777777" w:rsidR="00FF1193" w:rsidRDefault="00FF1193" w:rsidP="0057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28E0351" w14:paraId="3C837D0A" w14:textId="77777777" w:rsidTr="228E0351">
      <w:trPr>
        <w:trHeight w:val="300"/>
      </w:trPr>
      <w:tc>
        <w:tcPr>
          <w:tcW w:w="3120" w:type="dxa"/>
        </w:tcPr>
        <w:p w14:paraId="221C3ADD" w14:textId="6C6E1EE6" w:rsidR="228E0351" w:rsidRDefault="228E0351" w:rsidP="228E0351">
          <w:pPr>
            <w:pStyle w:val="Header"/>
            <w:ind w:left="-115"/>
          </w:pPr>
        </w:p>
      </w:tc>
      <w:tc>
        <w:tcPr>
          <w:tcW w:w="3120" w:type="dxa"/>
        </w:tcPr>
        <w:p w14:paraId="17B3A130" w14:textId="20EEE9B7" w:rsidR="228E0351" w:rsidRDefault="228E0351" w:rsidP="228E0351">
          <w:pPr>
            <w:pStyle w:val="Header"/>
            <w:jc w:val="center"/>
          </w:pPr>
        </w:p>
      </w:tc>
      <w:tc>
        <w:tcPr>
          <w:tcW w:w="3120" w:type="dxa"/>
        </w:tcPr>
        <w:p w14:paraId="2830BA31" w14:textId="5F9671D0" w:rsidR="228E0351" w:rsidRDefault="228E0351" w:rsidP="228E0351">
          <w:pPr>
            <w:pStyle w:val="Header"/>
            <w:ind w:right="-115"/>
            <w:jc w:val="right"/>
          </w:pPr>
        </w:p>
      </w:tc>
    </w:tr>
  </w:tbl>
  <w:p w14:paraId="59B9C663" w14:textId="27ED014A" w:rsidR="228E0351" w:rsidRDefault="228E0351" w:rsidP="228E0351">
    <w:pPr>
      <w:pStyle w:val="Header"/>
    </w:pPr>
  </w:p>
</w:hdr>
</file>

<file path=word/intelligence2.xml><?xml version="1.0" encoding="utf-8"?>
<int2:intelligence xmlns:int2="http://schemas.microsoft.com/office/intelligence/2020/intelligence" xmlns:oel="http://schemas.microsoft.com/office/2019/extlst">
  <int2:observations>
    <int2:textHash int2:hashCode="4FfVomUUCy3wy8" int2:id="bj2AljjU">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6788"/>
    <w:multiLevelType w:val="multilevel"/>
    <w:tmpl w:val="4258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D613B"/>
    <w:multiLevelType w:val="multilevel"/>
    <w:tmpl w:val="AF2E0C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4D5E3A"/>
    <w:multiLevelType w:val="multilevel"/>
    <w:tmpl w:val="1F98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935AA"/>
    <w:multiLevelType w:val="multilevel"/>
    <w:tmpl w:val="0E98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B02B9"/>
    <w:multiLevelType w:val="hybridMultilevel"/>
    <w:tmpl w:val="5E20660A"/>
    <w:lvl w:ilvl="0" w:tplc="E5767AE2">
      <w:start w:val="1"/>
      <w:numFmt w:val="decimal"/>
      <w:lvlText w:val="%1."/>
      <w:lvlJc w:val="left"/>
      <w:pPr>
        <w:ind w:left="720" w:hanging="360"/>
      </w:pPr>
    </w:lvl>
    <w:lvl w:ilvl="1" w:tplc="A718D78C">
      <w:start w:val="1"/>
      <w:numFmt w:val="lowerLetter"/>
      <w:lvlText w:val="%2."/>
      <w:lvlJc w:val="left"/>
      <w:pPr>
        <w:ind w:left="1440" w:hanging="360"/>
      </w:pPr>
    </w:lvl>
    <w:lvl w:ilvl="2" w:tplc="C9901432">
      <w:start w:val="1"/>
      <w:numFmt w:val="lowerRoman"/>
      <w:lvlText w:val="%3."/>
      <w:lvlJc w:val="right"/>
      <w:pPr>
        <w:ind w:left="2160" w:hanging="180"/>
      </w:pPr>
    </w:lvl>
    <w:lvl w:ilvl="3" w:tplc="0A9C885A">
      <w:start w:val="1"/>
      <w:numFmt w:val="decimal"/>
      <w:lvlText w:val="%4."/>
      <w:lvlJc w:val="left"/>
      <w:pPr>
        <w:ind w:left="2880" w:hanging="360"/>
      </w:pPr>
    </w:lvl>
    <w:lvl w:ilvl="4" w:tplc="7F58B812">
      <w:start w:val="1"/>
      <w:numFmt w:val="lowerLetter"/>
      <w:lvlText w:val="%5."/>
      <w:lvlJc w:val="left"/>
      <w:pPr>
        <w:ind w:left="3600" w:hanging="360"/>
      </w:pPr>
    </w:lvl>
    <w:lvl w:ilvl="5" w:tplc="03728A92">
      <w:start w:val="1"/>
      <w:numFmt w:val="lowerRoman"/>
      <w:lvlText w:val="%6."/>
      <w:lvlJc w:val="right"/>
      <w:pPr>
        <w:ind w:left="4320" w:hanging="180"/>
      </w:pPr>
    </w:lvl>
    <w:lvl w:ilvl="6" w:tplc="A0C4F6CC">
      <w:start w:val="1"/>
      <w:numFmt w:val="decimal"/>
      <w:lvlText w:val="%7."/>
      <w:lvlJc w:val="left"/>
      <w:pPr>
        <w:ind w:left="5040" w:hanging="360"/>
      </w:pPr>
    </w:lvl>
    <w:lvl w:ilvl="7" w:tplc="731EC7DE">
      <w:start w:val="1"/>
      <w:numFmt w:val="lowerLetter"/>
      <w:lvlText w:val="%8."/>
      <w:lvlJc w:val="left"/>
      <w:pPr>
        <w:ind w:left="5760" w:hanging="360"/>
      </w:pPr>
    </w:lvl>
    <w:lvl w:ilvl="8" w:tplc="35A440C8">
      <w:start w:val="1"/>
      <w:numFmt w:val="lowerRoman"/>
      <w:lvlText w:val="%9."/>
      <w:lvlJc w:val="right"/>
      <w:pPr>
        <w:ind w:left="6480" w:hanging="180"/>
      </w:pPr>
    </w:lvl>
  </w:abstractNum>
  <w:abstractNum w:abstractNumId="5" w15:restartNumberingAfterBreak="0">
    <w:nsid w:val="14E7079F"/>
    <w:multiLevelType w:val="multilevel"/>
    <w:tmpl w:val="101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27D98"/>
    <w:multiLevelType w:val="multilevel"/>
    <w:tmpl w:val="21B6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D3C64"/>
    <w:multiLevelType w:val="multilevel"/>
    <w:tmpl w:val="2A3E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02404"/>
    <w:multiLevelType w:val="hybridMultilevel"/>
    <w:tmpl w:val="0A164A9C"/>
    <w:lvl w:ilvl="0" w:tplc="ABCEAB72">
      <w:start w:val="1"/>
      <w:numFmt w:val="decimal"/>
      <w:lvlText w:val="%1."/>
      <w:lvlJc w:val="left"/>
      <w:pPr>
        <w:ind w:left="720" w:hanging="360"/>
      </w:pPr>
    </w:lvl>
    <w:lvl w:ilvl="1" w:tplc="E51AB0A4">
      <w:start w:val="1"/>
      <w:numFmt w:val="lowerLetter"/>
      <w:lvlText w:val="%2."/>
      <w:lvlJc w:val="left"/>
      <w:pPr>
        <w:ind w:left="1440" w:hanging="360"/>
      </w:pPr>
    </w:lvl>
    <w:lvl w:ilvl="2" w:tplc="24983824">
      <w:start w:val="1"/>
      <w:numFmt w:val="lowerRoman"/>
      <w:lvlText w:val="%3."/>
      <w:lvlJc w:val="right"/>
      <w:pPr>
        <w:ind w:left="2160" w:hanging="180"/>
      </w:pPr>
    </w:lvl>
    <w:lvl w:ilvl="3" w:tplc="2C3A1B78">
      <w:start w:val="1"/>
      <w:numFmt w:val="decimal"/>
      <w:lvlText w:val="%4."/>
      <w:lvlJc w:val="left"/>
      <w:pPr>
        <w:ind w:left="2880" w:hanging="360"/>
      </w:pPr>
    </w:lvl>
    <w:lvl w:ilvl="4" w:tplc="0A909248">
      <w:start w:val="1"/>
      <w:numFmt w:val="lowerLetter"/>
      <w:lvlText w:val="%5."/>
      <w:lvlJc w:val="left"/>
      <w:pPr>
        <w:ind w:left="3600" w:hanging="360"/>
      </w:pPr>
    </w:lvl>
    <w:lvl w:ilvl="5" w:tplc="36AAA172">
      <w:start w:val="1"/>
      <w:numFmt w:val="lowerRoman"/>
      <w:lvlText w:val="%6."/>
      <w:lvlJc w:val="right"/>
      <w:pPr>
        <w:ind w:left="4320" w:hanging="180"/>
      </w:pPr>
    </w:lvl>
    <w:lvl w:ilvl="6" w:tplc="FC4ECA92">
      <w:start w:val="1"/>
      <w:numFmt w:val="decimal"/>
      <w:lvlText w:val="%7."/>
      <w:lvlJc w:val="left"/>
      <w:pPr>
        <w:ind w:left="5040" w:hanging="360"/>
      </w:pPr>
    </w:lvl>
    <w:lvl w:ilvl="7" w:tplc="D996EE4E">
      <w:start w:val="1"/>
      <w:numFmt w:val="lowerLetter"/>
      <w:lvlText w:val="%8."/>
      <w:lvlJc w:val="left"/>
      <w:pPr>
        <w:ind w:left="5760" w:hanging="360"/>
      </w:pPr>
    </w:lvl>
    <w:lvl w:ilvl="8" w:tplc="E9FAC7F4">
      <w:start w:val="1"/>
      <w:numFmt w:val="lowerRoman"/>
      <w:lvlText w:val="%9."/>
      <w:lvlJc w:val="right"/>
      <w:pPr>
        <w:ind w:left="6480" w:hanging="180"/>
      </w:pPr>
    </w:lvl>
  </w:abstractNum>
  <w:abstractNum w:abstractNumId="9" w15:restartNumberingAfterBreak="0">
    <w:nsid w:val="20C96708"/>
    <w:multiLevelType w:val="multilevel"/>
    <w:tmpl w:val="BAE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22F69"/>
    <w:multiLevelType w:val="multilevel"/>
    <w:tmpl w:val="0684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56ED8"/>
    <w:multiLevelType w:val="multilevel"/>
    <w:tmpl w:val="248C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A25D3"/>
    <w:multiLevelType w:val="multilevel"/>
    <w:tmpl w:val="869C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892E39"/>
    <w:multiLevelType w:val="multilevel"/>
    <w:tmpl w:val="D34C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965ABD"/>
    <w:multiLevelType w:val="multilevel"/>
    <w:tmpl w:val="7D18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75185"/>
    <w:multiLevelType w:val="multilevel"/>
    <w:tmpl w:val="4988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D67F66"/>
    <w:multiLevelType w:val="multilevel"/>
    <w:tmpl w:val="67EE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B0326B"/>
    <w:multiLevelType w:val="multilevel"/>
    <w:tmpl w:val="C772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F02EC0"/>
    <w:multiLevelType w:val="multilevel"/>
    <w:tmpl w:val="8D7C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A7E71"/>
    <w:multiLevelType w:val="multilevel"/>
    <w:tmpl w:val="1052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BBB385"/>
    <w:multiLevelType w:val="hybridMultilevel"/>
    <w:tmpl w:val="11229D08"/>
    <w:lvl w:ilvl="0" w:tplc="B2CCBB46">
      <w:start w:val="1"/>
      <w:numFmt w:val="bullet"/>
      <w:lvlText w:val=""/>
      <w:lvlJc w:val="left"/>
      <w:pPr>
        <w:ind w:left="720" w:hanging="360"/>
      </w:pPr>
      <w:rPr>
        <w:rFonts w:ascii="Symbol" w:hAnsi="Symbol" w:hint="default"/>
      </w:rPr>
    </w:lvl>
    <w:lvl w:ilvl="1" w:tplc="18AE1A00">
      <w:start w:val="1"/>
      <w:numFmt w:val="bullet"/>
      <w:lvlText w:val="o"/>
      <w:lvlJc w:val="left"/>
      <w:pPr>
        <w:ind w:left="1440" w:hanging="360"/>
      </w:pPr>
      <w:rPr>
        <w:rFonts w:ascii="Courier New" w:hAnsi="Courier New" w:hint="default"/>
      </w:rPr>
    </w:lvl>
    <w:lvl w:ilvl="2" w:tplc="E7CAE5D2">
      <w:start w:val="1"/>
      <w:numFmt w:val="bullet"/>
      <w:lvlText w:val=""/>
      <w:lvlJc w:val="left"/>
      <w:pPr>
        <w:ind w:left="2160" w:hanging="360"/>
      </w:pPr>
      <w:rPr>
        <w:rFonts w:ascii="Wingdings" w:hAnsi="Wingdings" w:hint="default"/>
      </w:rPr>
    </w:lvl>
    <w:lvl w:ilvl="3" w:tplc="3A4274A6">
      <w:start w:val="1"/>
      <w:numFmt w:val="bullet"/>
      <w:lvlText w:val=""/>
      <w:lvlJc w:val="left"/>
      <w:pPr>
        <w:ind w:left="2880" w:hanging="360"/>
      </w:pPr>
      <w:rPr>
        <w:rFonts w:ascii="Symbol" w:hAnsi="Symbol" w:hint="default"/>
      </w:rPr>
    </w:lvl>
    <w:lvl w:ilvl="4" w:tplc="A808DA94">
      <w:start w:val="1"/>
      <w:numFmt w:val="bullet"/>
      <w:lvlText w:val="o"/>
      <w:lvlJc w:val="left"/>
      <w:pPr>
        <w:ind w:left="3600" w:hanging="360"/>
      </w:pPr>
      <w:rPr>
        <w:rFonts w:ascii="Courier New" w:hAnsi="Courier New" w:hint="default"/>
      </w:rPr>
    </w:lvl>
    <w:lvl w:ilvl="5" w:tplc="1806259C">
      <w:start w:val="1"/>
      <w:numFmt w:val="bullet"/>
      <w:lvlText w:val=""/>
      <w:lvlJc w:val="left"/>
      <w:pPr>
        <w:ind w:left="4320" w:hanging="360"/>
      </w:pPr>
      <w:rPr>
        <w:rFonts w:ascii="Wingdings" w:hAnsi="Wingdings" w:hint="default"/>
      </w:rPr>
    </w:lvl>
    <w:lvl w:ilvl="6" w:tplc="5A58497C">
      <w:start w:val="1"/>
      <w:numFmt w:val="bullet"/>
      <w:lvlText w:val=""/>
      <w:lvlJc w:val="left"/>
      <w:pPr>
        <w:ind w:left="5040" w:hanging="360"/>
      </w:pPr>
      <w:rPr>
        <w:rFonts w:ascii="Symbol" w:hAnsi="Symbol" w:hint="default"/>
      </w:rPr>
    </w:lvl>
    <w:lvl w:ilvl="7" w:tplc="7CC63608">
      <w:start w:val="1"/>
      <w:numFmt w:val="bullet"/>
      <w:lvlText w:val="o"/>
      <w:lvlJc w:val="left"/>
      <w:pPr>
        <w:ind w:left="5760" w:hanging="360"/>
      </w:pPr>
      <w:rPr>
        <w:rFonts w:ascii="Courier New" w:hAnsi="Courier New" w:hint="default"/>
      </w:rPr>
    </w:lvl>
    <w:lvl w:ilvl="8" w:tplc="5268EDA0">
      <w:start w:val="1"/>
      <w:numFmt w:val="bullet"/>
      <w:lvlText w:val=""/>
      <w:lvlJc w:val="left"/>
      <w:pPr>
        <w:ind w:left="6480" w:hanging="360"/>
      </w:pPr>
      <w:rPr>
        <w:rFonts w:ascii="Wingdings" w:hAnsi="Wingdings" w:hint="default"/>
      </w:rPr>
    </w:lvl>
  </w:abstractNum>
  <w:abstractNum w:abstractNumId="21" w15:restartNumberingAfterBreak="0">
    <w:nsid w:val="6D8C1A6E"/>
    <w:multiLevelType w:val="hybridMultilevel"/>
    <w:tmpl w:val="DB0007EA"/>
    <w:lvl w:ilvl="0" w:tplc="118432B0">
      <w:start w:val="1"/>
      <w:numFmt w:val="decimal"/>
      <w:lvlText w:val="%1."/>
      <w:lvlJc w:val="left"/>
      <w:pPr>
        <w:ind w:left="720" w:hanging="360"/>
      </w:pPr>
    </w:lvl>
    <w:lvl w:ilvl="1" w:tplc="0DC249D8">
      <w:start w:val="1"/>
      <w:numFmt w:val="lowerLetter"/>
      <w:lvlText w:val="%2."/>
      <w:lvlJc w:val="left"/>
      <w:pPr>
        <w:ind w:left="1440" w:hanging="360"/>
      </w:pPr>
    </w:lvl>
    <w:lvl w:ilvl="2" w:tplc="7C345E7C">
      <w:start w:val="1"/>
      <w:numFmt w:val="lowerRoman"/>
      <w:lvlText w:val="%3."/>
      <w:lvlJc w:val="right"/>
      <w:pPr>
        <w:ind w:left="2160" w:hanging="180"/>
      </w:pPr>
    </w:lvl>
    <w:lvl w:ilvl="3" w:tplc="57D894DE">
      <w:start w:val="1"/>
      <w:numFmt w:val="decimal"/>
      <w:lvlText w:val="%4."/>
      <w:lvlJc w:val="left"/>
      <w:pPr>
        <w:ind w:left="2880" w:hanging="360"/>
      </w:pPr>
    </w:lvl>
    <w:lvl w:ilvl="4" w:tplc="951A8C54">
      <w:start w:val="1"/>
      <w:numFmt w:val="lowerLetter"/>
      <w:lvlText w:val="%5."/>
      <w:lvlJc w:val="left"/>
      <w:pPr>
        <w:ind w:left="3600" w:hanging="360"/>
      </w:pPr>
    </w:lvl>
    <w:lvl w:ilvl="5" w:tplc="0038A62E">
      <w:start w:val="1"/>
      <w:numFmt w:val="lowerRoman"/>
      <w:lvlText w:val="%6."/>
      <w:lvlJc w:val="right"/>
      <w:pPr>
        <w:ind w:left="4320" w:hanging="180"/>
      </w:pPr>
    </w:lvl>
    <w:lvl w:ilvl="6" w:tplc="C9BA7008">
      <w:start w:val="1"/>
      <w:numFmt w:val="decimal"/>
      <w:lvlText w:val="%7."/>
      <w:lvlJc w:val="left"/>
      <w:pPr>
        <w:ind w:left="5040" w:hanging="360"/>
      </w:pPr>
    </w:lvl>
    <w:lvl w:ilvl="7" w:tplc="67CA0C22">
      <w:start w:val="1"/>
      <w:numFmt w:val="lowerLetter"/>
      <w:lvlText w:val="%8."/>
      <w:lvlJc w:val="left"/>
      <w:pPr>
        <w:ind w:left="5760" w:hanging="360"/>
      </w:pPr>
    </w:lvl>
    <w:lvl w:ilvl="8" w:tplc="EA0EAFFA">
      <w:start w:val="1"/>
      <w:numFmt w:val="lowerRoman"/>
      <w:lvlText w:val="%9."/>
      <w:lvlJc w:val="right"/>
      <w:pPr>
        <w:ind w:left="6480" w:hanging="180"/>
      </w:pPr>
    </w:lvl>
  </w:abstractNum>
  <w:abstractNum w:abstractNumId="22" w15:restartNumberingAfterBreak="0">
    <w:nsid w:val="6FEF6DCB"/>
    <w:multiLevelType w:val="multilevel"/>
    <w:tmpl w:val="BC6C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3946D1"/>
    <w:multiLevelType w:val="multilevel"/>
    <w:tmpl w:val="E102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6B84CF"/>
    <w:multiLevelType w:val="hybridMultilevel"/>
    <w:tmpl w:val="7C3EC20C"/>
    <w:lvl w:ilvl="0" w:tplc="D6FC2874">
      <w:start w:val="1"/>
      <w:numFmt w:val="bullet"/>
      <w:lvlText w:val=""/>
      <w:lvlJc w:val="left"/>
      <w:pPr>
        <w:ind w:left="720" w:hanging="360"/>
      </w:pPr>
      <w:rPr>
        <w:rFonts w:ascii="Symbol" w:hAnsi="Symbol" w:hint="default"/>
      </w:rPr>
    </w:lvl>
    <w:lvl w:ilvl="1" w:tplc="60E0CED0">
      <w:start w:val="1"/>
      <w:numFmt w:val="bullet"/>
      <w:lvlText w:val="o"/>
      <w:lvlJc w:val="left"/>
      <w:pPr>
        <w:ind w:left="1440" w:hanging="360"/>
      </w:pPr>
      <w:rPr>
        <w:rFonts w:ascii="Courier New" w:hAnsi="Courier New" w:hint="default"/>
      </w:rPr>
    </w:lvl>
    <w:lvl w:ilvl="2" w:tplc="89A40250">
      <w:start w:val="1"/>
      <w:numFmt w:val="bullet"/>
      <w:lvlText w:val=""/>
      <w:lvlJc w:val="left"/>
      <w:pPr>
        <w:ind w:left="2160" w:hanging="360"/>
      </w:pPr>
      <w:rPr>
        <w:rFonts w:ascii="Wingdings" w:hAnsi="Wingdings" w:hint="default"/>
      </w:rPr>
    </w:lvl>
    <w:lvl w:ilvl="3" w:tplc="0B4CB3D0">
      <w:start w:val="1"/>
      <w:numFmt w:val="bullet"/>
      <w:lvlText w:val=""/>
      <w:lvlJc w:val="left"/>
      <w:pPr>
        <w:ind w:left="2880" w:hanging="360"/>
      </w:pPr>
      <w:rPr>
        <w:rFonts w:ascii="Symbol" w:hAnsi="Symbol" w:hint="default"/>
      </w:rPr>
    </w:lvl>
    <w:lvl w:ilvl="4" w:tplc="A90A82D2">
      <w:start w:val="1"/>
      <w:numFmt w:val="bullet"/>
      <w:lvlText w:val="o"/>
      <w:lvlJc w:val="left"/>
      <w:pPr>
        <w:ind w:left="3600" w:hanging="360"/>
      </w:pPr>
      <w:rPr>
        <w:rFonts w:ascii="Courier New" w:hAnsi="Courier New" w:hint="default"/>
      </w:rPr>
    </w:lvl>
    <w:lvl w:ilvl="5" w:tplc="3F46EABE">
      <w:start w:val="1"/>
      <w:numFmt w:val="bullet"/>
      <w:lvlText w:val=""/>
      <w:lvlJc w:val="left"/>
      <w:pPr>
        <w:ind w:left="4320" w:hanging="360"/>
      </w:pPr>
      <w:rPr>
        <w:rFonts w:ascii="Wingdings" w:hAnsi="Wingdings" w:hint="default"/>
      </w:rPr>
    </w:lvl>
    <w:lvl w:ilvl="6" w:tplc="F80C71D4">
      <w:start w:val="1"/>
      <w:numFmt w:val="bullet"/>
      <w:lvlText w:val=""/>
      <w:lvlJc w:val="left"/>
      <w:pPr>
        <w:ind w:left="5040" w:hanging="360"/>
      </w:pPr>
      <w:rPr>
        <w:rFonts w:ascii="Symbol" w:hAnsi="Symbol" w:hint="default"/>
      </w:rPr>
    </w:lvl>
    <w:lvl w:ilvl="7" w:tplc="466E525E">
      <w:start w:val="1"/>
      <w:numFmt w:val="bullet"/>
      <w:lvlText w:val="o"/>
      <w:lvlJc w:val="left"/>
      <w:pPr>
        <w:ind w:left="5760" w:hanging="360"/>
      </w:pPr>
      <w:rPr>
        <w:rFonts w:ascii="Courier New" w:hAnsi="Courier New" w:hint="default"/>
      </w:rPr>
    </w:lvl>
    <w:lvl w:ilvl="8" w:tplc="4B602D0C">
      <w:start w:val="1"/>
      <w:numFmt w:val="bullet"/>
      <w:lvlText w:val=""/>
      <w:lvlJc w:val="left"/>
      <w:pPr>
        <w:ind w:left="6480" w:hanging="360"/>
      </w:pPr>
      <w:rPr>
        <w:rFonts w:ascii="Wingdings" w:hAnsi="Wingdings" w:hint="default"/>
      </w:rPr>
    </w:lvl>
  </w:abstractNum>
  <w:abstractNum w:abstractNumId="25" w15:restartNumberingAfterBreak="0">
    <w:nsid w:val="7604298B"/>
    <w:multiLevelType w:val="hybridMultilevel"/>
    <w:tmpl w:val="3DAE8E4C"/>
    <w:lvl w:ilvl="0" w:tplc="78781368">
      <w:start w:val="1"/>
      <w:numFmt w:val="bullet"/>
      <w:lvlText w:val=""/>
      <w:lvlJc w:val="left"/>
      <w:pPr>
        <w:ind w:left="720" w:hanging="360"/>
      </w:pPr>
      <w:rPr>
        <w:rFonts w:ascii="Symbol" w:hAnsi="Symbol" w:hint="default"/>
      </w:rPr>
    </w:lvl>
    <w:lvl w:ilvl="1" w:tplc="F6CA51E2">
      <w:start w:val="1"/>
      <w:numFmt w:val="bullet"/>
      <w:lvlText w:val="o"/>
      <w:lvlJc w:val="left"/>
      <w:pPr>
        <w:ind w:left="1440" w:hanging="360"/>
      </w:pPr>
      <w:rPr>
        <w:rFonts w:ascii="Courier New" w:hAnsi="Courier New" w:hint="default"/>
      </w:rPr>
    </w:lvl>
    <w:lvl w:ilvl="2" w:tplc="A20A0776">
      <w:start w:val="1"/>
      <w:numFmt w:val="bullet"/>
      <w:lvlText w:val=""/>
      <w:lvlJc w:val="left"/>
      <w:pPr>
        <w:ind w:left="2160" w:hanging="360"/>
      </w:pPr>
      <w:rPr>
        <w:rFonts w:ascii="Wingdings" w:hAnsi="Wingdings" w:hint="default"/>
      </w:rPr>
    </w:lvl>
    <w:lvl w:ilvl="3" w:tplc="74AA0DB4">
      <w:start w:val="1"/>
      <w:numFmt w:val="bullet"/>
      <w:lvlText w:val=""/>
      <w:lvlJc w:val="left"/>
      <w:pPr>
        <w:ind w:left="2880" w:hanging="360"/>
      </w:pPr>
      <w:rPr>
        <w:rFonts w:ascii="Symbol" w:hAnsi="Symbol" w:hint="default"/>
      </w:rPr>
    </w:lvl>
    <w:lvl w:ilvl="4" w:tplc="FAC63EAC">
      <w:start w:val="1"/>
      <w:numFmt w:val="bullet"/>
      <w:lvlText w:val="o"/>
      <w:lvlJc w:val="left"/>
      <w:pPr>
        <w:ind w:left="3600" w:hanging="360"/>
      </w:pPr>
      <w:rPr>
        <w:rFonts w:ascii="Courier New" w:hAnsi="Courier New" w:hint="default"/>
      </w:rPr>
    </w:lvl>
    <w:lvl w:ilvl="5" w:tplc="B5983756">
      <w:start w:val="1"/>
      <w:numFmt w:val="bullet"/>
      <w:lvlText w:val=""/>
      <w:lvlJc w:val="left"/>
      <w:pPr>
        <w:ind w:left="4320" w:hanging="360"/>
      </w:pPr>
      <w:rPr>
        <w:rFonts w:ascii="Wingdings" w:hAnsi="Wingdings" w:hint="default"/>
      </w:rPr>
    </w:lvl>
    <w:lvl w:ilvl="6" w:tplc="43AE00A2">
      <w:start w:val="1"/>
      <w:numFmt w:val="bullet"/>
      <w:lvlText w:val=""/>
      <w:lvlJc w:val="left"/>
      <w:pPr>
        <w:ind w:left="5040" w:hanging="360"/>
      </w:pPr>
      <w:rPr>
        <w:rFonts w:ascii="Symbol" w:hAnsi="Symbol" w:hint="default"/>
      </w:rPr>
    </w:lvl>
    <w:lvl w:ilvl="7" w:tplc="87BA5650">
      <w:start w:val="1"/>
      <w:numFmt w:val="bullet"/>
      <w:lvlText w:val="o"/>
      <w:lvlJc w:val="left"/>
      <w:pPr>
        <w:ind w:left="5760" w:hanging="360"/>
      </w:pPr>
      <w:rPr>
        <w:rFonts w:ascii="Courier New" w:hAnsi="Courier New" w:hint="default"/>
      </w:rPr>
    </w:lvl>
    <w:lvl w:ilvl="8" w:tplc="982E9E2E">
      <w:start w:val="1"/>
      <w:numFmt w:val="bullet"/>
      <w:lvlText w:val=""/>
      <w:lvlJc w:val="left"/>
      <w:pPr>
        <w:ind w:left="6480" w:hanging="360"/>
      </w:pPr>
      <w:rPr>
        <w:rFonts w:ascii="Wingdings" w:hAnsi="Wingdings" w:hint="default"/>
      </w:rPr>
    </w:lvl>
  </w:abstractNum>
  <w:abstractNum w:abstractNumId="26" w15:restartNumberingAfterBreak="0">
    <w:nsid w:val="7849A002"/>
    <w:multiLevelType w:val="hybridMultilevel"/>
    <w:tmpl w:val="A2C87CCE"/>
    <w:lvl w:ilvl="0" w:tplc="71B6CB4A">
      <w:start w:val="1"/>
      <w:numFmt w:val="decimal"/>
      <w:lvlText w:val="%1."/>
      <w:lvlJc w:val="left"/>
      <w:pPr>
        <w:ind w:left="720" w:hanging="360"/>
      </w:pPr>
    </w:lvl>
    <w:lvl w:ilvl="1" w:tplc="8D52EF6C">
      <w:start w:val="1"/>
      <w:numFmt w:val="lowerLetter"/>
      <w:lvlText w:val="%2."/>
      <w:lvlJc w:val="left"/>
      <w:pPr>
        <w:ind w:left="1440" w:hanging="360"/>
      </w:pPr>
    </w:lvl>
    <w:lvl w:ilvl="2" w:tplc="CAC0C716">
      <w:start w:val="1"/>
      <w:numFmt w:val="lowerRoman"/>
      <w:lvlText w:val="%3."/>
      <w:lvlJc w:val="right"/>
      <w:pPr>
        <w:ind w:left="2160" w:hanging="180"/>
      </w:pPr>
    </w:lvl>
    <w:lvl w:ilvl="3" w:tplc="3F9250E2">
      <w:start w:val="1"/>
      <w:numFmt w:val="decimal"/>
      <w:lvlText w:val="%4."/>
      <w:lvlJc w:val="left"/>
      <w:pPr>
        <w:ind w:left="2880" w:hanging="360"/>
      </w:pPr>
    </w:lvl>
    <w:lvl w:ilvl="4" w:tplc="4CA4B0A4">
      <w:start w:val="1"/>
      <w:numFmt w:val="lowerLetter"/>
      <w:lvlText w:val="%5."/>
      <w:lvlJc w:val="left"/>
      <w:pPr>
        <w:ind w:left="3600" w:hanging="360"/>
      </w:pPr>
    </w:lvl>
    <w:lvl w:ilvl="5" w:tplc="F7087524">
      <w:start w:val="1"/>
      <w:numFmt w:val="lowerRoman"/>
      <w:lvlText w:val="%6."/>
      <w:lvlJc w:val="right"/>
      <w:pPr>
        <w:ind w:left="4320" w:hanging="180"/>
      </w:pPr>
    </w:lvl>
    <w:lvl w:ilvl="6" w:tplc="62DE6630">
      <w:start w:val="1"/>
      <w:numFmt w:val="decimal"/>
      <w:lvlText w:val="%7."/>
      <w:lvlJc w:val="left"/>
      <w:pPr>
        <w:ind w:left="5040" w:hanging="360"/>
      </w:pPr>
    </w:lvl>
    <w:lvl w:ilvl="7" w:tplc="C05AAE9C">
      <w:start w:val="1"/>
      <w:numFmt w:val="lowerLetter"/>
      <w:lvlText w:val="%8."/>
      <w:lvlJc w:val="left"/>
      <w:pPr>
        <w:ind w:left="5760" w:hanging="360"/>
      </w:pPr>
    </w:lvl>
    <w:lvl w:ilvl="8" w:tplc="10C22ADC">
      <w:start w:val="1"/>
      <w:numFmt w:val="lowerRoman"/>
      <w:lvlText w:val="%9."/>
      <w:lvlJc w:val="right"/>
      <w:pPr>
        <w:ind w:left="6480" w:hanging="180"/>
      </w:pPr>
    </w:lvl>
  </w:abstractNum>
  <w:abstractNum w:abstractNumId="27" w15:restartNumberingAfterBreak="0">
    <w:nsid w:val="7E5962B2"/>
    <w:multiLevelType w:val="multilevel"/>
    <w:tmpl w:val="464E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787397">
    <w:abstractNumId w:val="8"/>
  </w:num>
  <w:num w:numId="2" w16cid:durableId="736055569">
    <w:abstractNumId w:val="4"/>
  </w:num>
  <w:num w:numId="3" w16cid:durableId="1053969714">
    <w:abstractNumId w:val="26"/>
  </w:num>
  <w:num w:numId="4" w16cid:durableId="985084292">
    <w:abstractNumId w:val="25"/>
  </w:num>
  <w:num w:numId="5" w16cid:durableId="658659996">
    <w:abstractNumId w:val="20"/>
  </w:num>
  <w:num w:numId="6" w16cid:durableId="878275000">
    <w:abstractNumId w:val="24"/>
  </w:num>
  <w:num w:numId="7" w16cid:durableId="1492982299">
    <w:abstractNumId w:val="21"/>
  </w:num>
  <w:num w:numId="8" w16cid:durableId="1934435064">
    <w:abstractNumId w:val="16"/>
  </w:num>
  <w:num w:numId="9" w16cid:durableId="712771520">
    <w:abstractNumId w:val="11"/>
  </w:num>
  <w:num w:numId="10" w16cid:durableId="236482147">
    <w:abstractNumId w:val="14"/>
  </w:num>
  <w:num w:numId="11" w16cid:durableId="76489530">
    <w:abstractNumId w:val="10"/>
  </w:num>
  <w:num w:numId="12" w16cid:durableId="424496581">
    <w:abstractNumId w:val="19"/>
  </w:num>
  <w:num w:numId="13" w16cid:durableId="1853638737">
    <w:abstractNumId w:val="17"/>
  </w:num>
  <w:num w:numId="14" w16cid:durableId="393161843">
    <w:abstractNumId w:val="3"/>
  </w:num>
  <w:num w:numId="15" w16cid:durableId="1883133967">
    <w:abstractNumId w:val="23"/>
  </w:num>
  <w:num w:numId="16" w16cid:durableId="1369985704">
    <w:abstractNumId w:val="22"/>
  </w:num>
  <w:num w:numId="17" w16cid:durableId="517041121">
    <w:abstractNumId w:val="15"/>
  </w:num>
  <w:num w:numId="18" w16cid:durableId="1983382041">
    <w:abstractNumId w:val="6"/>
  </w:num>
  <w:num w:numId="19" w16cid:durableId="2017536165">
    <w:abstractNumId w:val="7"/>
  </w:num>
  <w:num w:numId="20" w16cid:durableId="1727298348">
    <w:abstractNumId w:val="0"/>
  </w:num>
  <w:num w:numId="21" w16cid:durableId="93938728">
    <w:abstractNumId w:val="13"/>
  </w:num>
  <w:num w:numId="22" w16cid:durableId="199317722">
    <w:abstractNumId w:val="2"/>
  </w:num>
  <w:num w:numId="23" w16cid:durableId="780689471">
    <w:abstractNumId w:val="27"/>
  </w:num>
  <w:num w:numId="24" w16cid:durableId="283464207">
    <w:abstractNumId w:val="5"/>
  </w:num>
  <w:num w:numId="25" w16cid:durableId="1877085835">
    <w:abstractNumId w:val="18"/>
  </w:num>
  <w:num w:numId="26" w16cid:durableId="1594587102">
    <w:abstractNumId w:val="12"/>
  </w:num>
  <w:num w:numId="27" w16cid:durableId="712971260">
    <w:abstractNumId w:val="9"/>
  </w:num>
  <w:num w:numId="28" w16cid:durableId="1872255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C1"/>
    <w:rsid w:val="00017C92"/>
    <w:rsid w:val="00022A1A"/>
    <w:rsid w:val="00040F49"/>
    <w:rsid w:val="000468E4"/>
    <w:rsid w:val="0005421B"/>
    <w:rsid w:val="00055761"/>
    <w:rsid w:val="00056B54"/>
    <w:rsid w:val="00086553"/>
    <w:rsid w:val="00091217"/>
    <w:rsid w:val="000A4E7A"/>
    <w:rsid w:val="000B2F0D"/>
    <w:rsid w:val="000C3FA0"/>
    <w:rsid w:val="000C4149"/>
    <w:rsid w:val="000E21D7"/>
    <w:rsid w:val="000E2F97"/>
    <w:rsid w:val="000E3786"/>
    <w:rsid w:val="001158FC"/>
    <w:rsid w:val="00126507"/>
    <w:rsid w:val="001376BC"/>
    <w:rsid w:val="00157710"/>
    <w:rsid w:val="00161CEC"/>
    <w:rsid w:val="00163918"/>
    <w:rsid w:val="00164470"/>
    <w:rsid w:val="00187CF3"/>
    <w:rsid w:val="00194F45"/>
    <w:rsid w:val="001A1720"/>
    <w:rsid w:val="001A23BB"/>
    <w:rsid w:val="001A50A0"/>
    <w:rsid w:val="001D138E"/>
    <w:rsid w:val="001D1BD0"/>
    <w:rsid w:val="001D27AE"/>
    <w:rsid w:val="001E32BB"/>
    <w:rsid w:val="00214FD6"/>
    <w:rsid w:val="0021725F"/>
    <w:rsid w:val="00217B85"/>
    <w:rsid w:val="00221B07"/>
    <w:rsid w:val="00237A99"/>
    <w:rsid w:val="002405BA"/>
    <w:rsid w:val="00247DED"/>
    <w:rsid w:val="00251683"/>
    <w:rsid w:val="0025641B"/>
    <w:rsid w:val="00270108"/>
    <w:rsid w:val="00276CF6"/>
    <w:rsid w:val="002A634E"/>
    <w:rsid w:val="002E1437"/>
    <w:rsid w:val="002E24D1"/>
    <w:rsid w:val="003013DE"/>
    <w:rsid w:val="00323B16"/>
    <w:rsid w:val="00336332"/>
    <w:rsid w:val="00376020"/>
    <w:rsid w:val="003A66B1"/>
    <w:rsid w:val="003B4D52"/>
    <w:rsid w:val="003D0C90"/>
    <w:rsid w:val="003E70B0"/>
    <w:rsid w:val="003F28F2"/>
    <w:rsid w:val="004165CB"/>
    <w:rsid w:val="004354E8"/>
    <w:rsid w:val="004423D1"/>
    <w:rsid w:val="00460019"/>
    <w:rsid w:val="00463D6A"/>
    <w:rsid w:val="004814CC"/>
    <w:rsid w:val="00491879"/>
    <w:rsid w:val="00492098"/>
    <w:rsid w:val="004936D1"/>
    <w:rsid w:val="00495533"/>
    <w:rsid w:val="004C182F"/>
    <w:rsid w:val="004C4F77"/>
    <w:rsid w:val="004D5E49"/>
    <w:rsid w:val="005007E9"/>
    <w:rsid w:val="005050A2"/>
    <w:rsid w:val="00524061"/>
    <w:rsid w:val="00532B20"/>
    <w:rsid w:val="00542787"/>
    <w:rsid w:val="00563487"/>
    <w:rsid w:val="00572948"/>
    <w:rsid w:val="00573D29"/>
    <w:rsid w:val="005861C2"/>
    <w:rsid w:val="005B1D37"/>
    <w:rsid w:val="005C3618"/>
    <w:rsid w:val="005D1326"/>
    <w:rsid w:val="005D6518"/>
    <w:rsid w:val="006131E3"/>
    <w:rsid w:val="00614C1D"/>
    <w:rsid w:val="00636F16"/>
    <w:rsid w:val="0063758A"/>
    <w:rsid w:val="00663F59"/>
    <w:rsid w:val="0067163C"/>
    <w:rsid w:val="00680E8C"/>
    <w:rsid w:val="00684EC0"/>
    <w:rsid w:val="00696FBD"/>
    <w:rsid w:val="006A5B1B"/>
    <w:rsid w:val="006A70C9"/>
    <w:rsid w:val="006C0CF1"/>
    <w:rsid w:val="006C1573"/>
    <w:rsid w:val="006D0471"/>
    <w:rsid w:val="006D52F8"/>
    <w:rsid w:val="006F195C"/>
    <w:rsid w:val="007056AE"/>
    <w:rsid w:val="00734CD2"/>
    <w:rsid w:val="00744C49"/>
    <w:rsid w:val="00776E85"/>
    <w:rsid w:val="007846DD"/>
    <w:rsid w:val="00785196"/>
    <w:rsid w:val="007925B4"/>
    <w:rsid w:val="00796B90"/>
    <w:rsid w:val="00797ED0"/>
    <w:rsid w:val="007A0E11"/>
    <w:rsid w:val="007E7B3A"/>
    <w:rsid w:val="00810D74"/>
    <w:rsid w:val="008260D2"/>
    <w:rsid w:val="008410E7"/>
    <w:rsid w:val="00854424"/>
    <w:rsid w:val="008779CD"/>
    <w:rsid w:val="008B2F4A"/>
    <w:rsid w:val="008C0B8D"/>
    <w:rsid w:val="008C7152"/>
    <w:rsid w:val="00916CE6"/>
    <w:rsid w:val="00927495"/>
    <w:rsid w:val="00927506"/>
    <w:rsid w:val="009419E0"/>
    <w:rsid w:val="00965E29"/>
    <w:rsid w:val="009944F2"/>
    <w:rsid w:val="00995DA2"/>
    <w:rsid w:val="009A2105"/>
    <w:rsid w:val="009A32AF"/>
    <w:rsid w:val="009B52ED"/>
    <w:rsid w:val="009C4EB8"/>
    <w:rsid w:val="009C59B1"/>
    <w:rsid w:val="009D41D3"/>
    <w:rsid w:val="00A04F26"/>
    <w:rsid w:val="00A21FD2"/>
    <w:rsid w:val="00A3640F"/>
    <w:rsid w:val="00A5074C"/>
    <w:rsid w:val="00A60497"/>
    <w:rsid w:val="00A9064F"/>
    <w:rsid w:val="00AB4103"/>
    <w:rsid w:val="00AC075C"/>
    <w:rsid w:val="00AD00DA"/>
    <w:rsid w:val="00B04A74"/>
    <w:rsid w:val="00B10319"/>
    <w:rsid w:val="00B107A6"/>
    <w:rsid w:val="00B4409D"/>
    <w:rsid w:val="00B54061"/>
    <w:rsid w:val="00B60055"/>
    <w:rsid w:val="00B716B8"/>
    <w:rsid w:val="00B81FA2"/>
    <w:rsid w:val="00B83F48"/>
    <w:rsid w:val="00C054D7"/>
    <w:rsid w:val="00C22D14"/>
    <w:rsid w:val="00C311C1"/>
    <w:rsid w:val="00C36056"/>
    <w:rsid w:val="00C81CCA"/>
    <w:rsid w:val="00CA04EF"/>
    <w:rsid w:val="00CA121A"/>
    <w:rsid w:val="00CA5102"/>
    <w:rsid w:val="00CB16C4"/>
    <w:rsid w:val="00CB462B"/>
    <w:rsid w:val="00CB7921"/>
    <w:rsid w:val="00CE7896"/>
    <w:rsid w:val="00CF140F"/>
    <w:rsid w:val="00D068E2"/>
    <w:rsid w:val="00D10163"/>
    <w:rsid w:val="00D156C5"/>
    <w:rsid w:val="00D22E01"/>
    <w:rsid w:val="00D2461F"/>
    <w:rsid w:val="00D34019"/>
    <w:rsid w:val="00D36239"/>
    <w:rsid w:val="00D470E0"/>
    <w:rsid w:val="00D4FAE3"/>
    <w:rsid w:val="00D66D94"/>
    <w:rsid w:val="00D73CF4"/>
    <w:rsid w:val="00DB3DFC"/>
    <w:rsid w:val="00DB5513"/>
    <w:rsid w:val="00DB79D0"/>
    <w:rsid w:val="00DD6FFE"/>
    <w:rsid w:val="00E135E3"/>
    <w:rsid w:val="00E1558E"/>
    <w:rsid w:val="00E21F9C"/>
    <w:rsid w:val="00E22A34"/>
    <w:rsid w:val="00E737B7"/>
    <w:rsid w:val="00E8186C"/>
    <w:rsid w:val="00E9236E"/>
    <w:rsid w:val="00E965A8"/>
    <w:rsid w:val="00EC25DB"/>
    <w:rsid w:val="00EC52EC"/>
    <w:rsid w:val="00ED652F"/>
    <w:rsid w:val="00F04CB9"/>
    <w:rsid w:val="00F134F7"/>
    <w:rsid w:val="00F14A7A"/>
    <w:rsid w:val="00F1CE0E"/>
    <w:rsid w:val="00F26A5A"/>
    <w:rsid w:val="00F330D1"/>
    <w:rsid w:val="00F3495D"/>
    <w:rsid w:val="00F51D4B"/>
    <w:rsid w:val="00F659D8"/>
    <w:rsid w:val="00FA00AB"/>
    <w:rsid w:val="00FA247B"/>
    <w:rsid w:val="00FA29BF"/>
    <w:rsid w:val="00FB3350"/>
    <w:rsid w:val="00FC11ED"/>
    <w:rsid w:val="00FC47D2"/>
    <w:rsid w:val="00FE5360"/>
    <w:rsid w:val="00FF1193"/>
    <w:rsid w:val="01038E83"/>
    <w:rsid w:val="011EB710"/>
    <w:rsid w:val="01315395"/>
    <w:rsid w:val="01E3D404"/>
    <w:rsid w:val="021F4AC6"/>
    <w:rsid w:val="02AE50F2"/>
    <w:rsid w:val="02EB1BCE"/>
    <w:rsid w:val="03452177"/>
    <w:rsid w:val="037E42A5"/>
    <w:rsid w:val="04074350"/>
    <w:rsid w:val="044F7D9F"/>
    <w:rsid w:val="0463D3C1"/>
    <w:rsid w:val="047C2C42"/>
    <w:rsid w:val="053654E3"/>
    <w:rsid w:val="05446939"/>
    <w:rsid w:val="064563C0"/>
    <w:rsid w:val="065AC4C6"/>
    <w:rsid w:val="06985EFE"/>
    <w:rsid w:val="06F0CE25"/>
    <w:rsid w:val="070A436A"/>
    <w:rsid w:val="071CB3A1"/>
    <w:rsid w:val="07282E58"/>
    <w:rsid w:val="07589D33"/>
    <w:rsid w:val="07FB97DD"/>
    <w:rsid w:val="081699D2"/>
    <w:rsid w:val="081C172F"/>
    <w:rsid w:val="083D91D9"/>
    <w:rsid w:val="083D9D27"/>
    <w:rsid w:val="0896A313"/>
    <w:rsid w:val="08A15283"/>
    <w:rsid w:val="08A51972"/>
    <w:rsid w:val="08AD749B"/>
    <w:rsid w:val="08CBA6E0"/>
    <w:rsid w:val="0A0D244A"/>
    <w:rsid w:val="0AB23032"/>
    <w:rsid w:val="0BAA25E4"/>
    <w:rsid w:val="0C84108E"/>
    <w:rsid w:val="0D07DCF4"/>
    <w:rsid w:val="0D2C066B"/>
    <w:rsid w:val="0DB6374C"/>
    <w:rsid w:val="0E74C887"/>
    <w:rsid w:val="0EA89FA6"/>
    <w:rsid w:val="0EF978FD"/>
    <w:rsid w:val="0F4BBE05"/>
    <w:rsid w:val="0F8047E9"/>
    <w:rsid w:val="0FCDB272"/>
    <w:rsid w:val="104DDD51"/>
    <w:rsid w:val="105FF442"/>
    <w:rsid w:val="10C27D18"/>
    <w:rsid w:val="11263883"/>
    <w:rsid w:val="11739727"/>
    <w:rsid w:val="11C33740"/>
    <w:rsid w:val="12399FDA"/>
    <w:rsid w:val="1254A992"/>
    <w:rsid w:val="1354A472"/>
    <w:rsid w:val="13C14E87"/>
    <w:rsid w:val="14A1224C"/>
    <w:rsid w:val="14BBB07C"/>
    <w:rsid w:val="14DD4CE3"/>
    <w:rsid w:val="155F4005"/>
    <w:rsid w:val="15CAB269"/>
    <w:rsid w:val="160D587E"/>
    <w:rsid w:val="166C8DAD"/>
    <w:rsid w:val="176A358C"/>
    <w:rsid w:val="1833171A"/>
    <w:rsid w:val="187754E8"/>
    <w:rsid w:val="193AB839"/>
    <w:rsid w:val="19A73449"/>
    <w:rsid w:val="19D94B38"/>
    <w:rsid w:val="19DB758A"/>
    <w:rsid w:val="19E80703"/>
    <w:rsid w:val="1A2EDC91"/>
    <w:rsid w:val="1A66BF8A"/>
    <w:rsid w:val="1A7B9847"/>
    <w:rsid w:val="1AB9D144"/>
    <w:rsid w:val="1B273B41"/>
    <w:rsid w:val="1B62CE1A"/>
    <w:rsid w:val="1B64A563"/>
    <w:rsid w:val="1B91DCAA"/>
    <w:rsid w:val="1C24D812"/>
    <w:rsid w:val="1C57AEE9"/>
    <w:rsid w:val="1C9F03B5"/>
    <w:rsid w:val="1CC5BB38"/>
    <w:rsid w:val="1CE2C823"/>
    <w:rsid w:val="1D6700DC"/>
    <w:rsid w:val="1E08603D"/>
    <w:rsid w:val="1F06CCAE"/>
    <w:rsid w:val="1F1E41FA"/>
    <w:rsid w:val="1F62DBA5"/>
    <w:rsid w:val="1F83ED28"/>
    <w:rsid w:val="1FF1FC75"/>
    <w:rsid w:val="201DD3F6"/>
    <w:rsid w:val="2029EA1C"/>
    <w:rsid w:val="2044BD44"/>
    <w:rsid w:val="20EE935C"/>
    <w:rsid w:val="20F99935"/>
    <w:rsid w:val="21464B12"/>
    <w:rsid w:val="2159D17C"/>
    <w:rsid w:val="21E0B659"/>
    <w:rsid w:val="21E52729"/>
    <w:rsid w:val="21EFF631"/>
    <w:rsid w:val="224AA261"/>
    <w:rsid w:val="22625B47"/>
    <w:rsid w:val="228B1784"/>
    <w:rsid w:val="228E0351"/>
    <w:rsid w:val="2296B8DB"/>
    <w:rsid w:val="22CC9A30"/>
    <w:rsid w:val="22D43EFF"/>
    <w:rsid w:val="22D7D858"/>
    <w:rsid w:val="22F87461"/>
    <w:rsid w:val="23186C93"/>
    <w:rsid w:val="235DF431"/>
    <w:rsid w:val="23E369D0"/>
    <w:rsid w:val="23FA66CB"/>
    <w:rsid w:val="2400BE69"/>
    <w:rsid w:val="2404B067"/>
    <w:rsid w:val="2412F159"/>
    <w:rsid w:val="24C0A790"/>
    <w:rsid w:val="24F747D9"/>
    <w:rsid w:val="2593C305"/>
    <w:rsid w:val="25C26E8A"/>
    <w:rsid w:val="2613F160"/>
    <w:rsid w:val="26525B7B"/>
    <w:rsid w:val="271AA6D9"/>
    <w:rsid w:val="276B1688"/>
    <w:rsid w:val="2852F8AE"/>
    <w:rsid w:val="289C58D6"/>
    <w:rsid w:val="28AA2F61"/>
    <w:rsid w:val="293559CA"/>
    <w:rsid w:val="29981E4D"/>
    <w:rsid w:val="29D0A082"/>
    <w:rsid w:val="29EB0D5C"/>
    <w:rsid w:val="2A335357"/>
    <w:rsid w:val="2A534BB7"/>
    <w:rsid w:val="2A92A697"/>
    <w:rsid w:val="2AC00944"/>
    <w:rsid w:val="2ACAA05D"/>
    <w:rsid w:val="2B1DE51C"/>
    <w:rsid w:val="2D494356"/>
    <w:rsid w:val="2D8DD5DE"/>
    <w:rsid w:val="2D99470A"/>
    <w:rsid w:val="2D99A406"/>
    <w:rsid w:val="2DB3D3D7"/>
    <w:rsid w:val="2DD7E794"/>
    <w:rsid w:val="2E496A95"/>
    <w:rsid w:val="2E5A1E03"/>
    <w:rsid w:val="2EBFB69E"/>
    <w:rsid w:val="2F3B6E3E"/>
    <w:rsid w:val="30C8EE54"/>
    <w:rsid w:val="31317745"/>
    <w:rsid w:val="318643F8"/>
    <w:rsid w:val="31ADF356"/>
    <w:rsid w:val="3281D4E3"/>
    <w:rsid w:val="33927F12"/>
    <w:rsid w:val="34C90198"/>
    <w:rsid w:val="352FE675"/>
    <w:rsid w:val="35652CCA"/>
    <w:rsid w:val="356AD1CC"/>
    <w:rsid w:val="35826A8F"/>
    <w:rsid w:val="358DCE12"/>
    <w:rsid w:val="359CB6CE"/>
    <w:rsid w:val="35F93218"/>
    <w:rsid w:val="371A62A6"/>
    <w:rsid w:val="3763D028"/>
    <w:rsid w:val="37A94552"/>
    <w:rsid w:val="37B6E024"/>
    <w:rsid w:val="383D6976"/>
    <w:rsid w:val="383E8D24"/>
    <w:rsid w:val="385C952A"/>
    <w:rsid w:val="38B4F3FF"/>
    <w:rsid w:val="38FC40BB"/>
    <w:rsid w:val="392895A2"/>
    <w:rsid w:val="396970F4"/>
    <w:rsid w:val="397DF537"/>
    <w:rsid w:val="3987B505"/>
    <w:rsid w:val="39A4378E"/>
    <w:rsid w:val="39A83CCB"/>
    <w:rsid w:val="39A9A83B"/>
    <w:rsid w:val="3A5E8AE4"/>
    <w:rsid w:val="3A91285A"/>
    <w:rsid w:val="3AAC3041"/>
    <w:rsid w:val="3B3978E6"/>
    <w:rsid w:val="3B54D10F"/>
    <w:rsid w:val="3B5E2ADB"/>
    <w:rsid w:val="3BCB66B8"/>
    <w:rsid w:val="3BD65D89"/>
    <w:rsid w:val="3BF19866"/>
    <w:rsid w:val="3BF57ECB"/>
    <w:rsid w:val="3C1905E0"/>
    <w:rsid w:val="3C45BEF2"/>
    <w:rsid w:val="3D357FCD"/>
    <w:rsid w:val="3D794426"/>
    <w:rsid w:val="3D9537BB"/>
    <w:rsid w:val="3DAE12A7"/>
    <w:rsid w:val="3DF5CF4B"/>
    <w:rsid w:val="3E4CFC83"/>
    <w:rsid w:val="3ECCD43F"/>
    <w:rsid w:val="3ED5795F"/>
    <w:rsid w:val="3FD0C3A4"/>
    <w:rsid w:val="3FD928F9"/>
    <w:rsid w:val="3FE68B8D"/>
    <w:rsid w:val="402549C5"/>
    <w:rsid w:val="4032E3CB"/>
    <w:rsid w:val="4058822F"/>
    <w:rsid w:val="40AB06C9"/>
    <w:rsid w:val="40AC9AFE"/>
    <w:rsid w:val="40B5F816"/>
    <w:rsid w:val="40C4BEC1"/>
    <w:rsid w:val="41092ABE"/>
    <w:rsid w:val="412F14DA"/>
    <w:rsid w:val="41EC4271"/>
    <w:rsid w:val="4268D828"/>
    <w:rsid w:val="42C9D6A5"/>
    <w:rsid w:val="42C9F4D3"/>
    <w:rsid w:val="42F392ED"/>
    <w:rsid w:val="4305F7E1"/>
    <w:rsid w:val="430B326C"/>
    <w:rsid w:val="4358A7E6"/>
    <w:rsid w:val="4372449F"/>
    <w:rsid w:val="440CB056"/>
    <w:rsid w:val="4418951F"/>
    <w:rsid w:val="44328075"/>
    <w:rsid w:val="44490389"/>
    <w:rsid w:val="44959815"/>
    <w:rsid w:val="45341AA5"/>
    <w:rsid w:val="4591AA3C"/>
    <w:rsid w:val="45EB4EA1"/>
    <w:rsid w:val="45F9CFEA"/>
    <w:rsid w:val="460CC6E2"/>
    <w:rsid w:val="461596B5"/>
    <w:rsid w:val="46319DE4"/>
    <w:rsid w:val="464551BB"/>
    <w:rsid w:val="465893C0"/>
    <w:rsid w:val="470F2CEF"/>
    <w:rsid w:val="47E54DAB"/>
    <w:rsid w:val="48180B6A"/>
    <w:rsid w:val="481AF7C6"/>
    <w:rsid w:val="48A43932"/>
    <w:rsid w:val="48BE502B"/>
    <w:rsid w:val="48FA8E60"/>
    <w:rsid w:val="49216B40"/>
    <w:rsid w:val="493B9E8D"/>
    <w:rsid w:val="49AE17B1"/>
    <w:rsid w:val="49C0A270"/>
    <w:rsid w:val="4A63E06B"/>
    <w:rsid w:val="4A7C330F"/>
    <w:rsid w:val="4A808901"/>
    <w:rsid w:val="4AD36FFD"/>
    <w:rsid w:val="4B79F17F"/>
    <w:rsid w:val="4BE90ADA"/>
    <w:rsid w:val="4BF71AF7"/>
    <w:rsid w:val="4C3649FE"/>
    <w:rsid w:val="4C72D29B"/>
    <w:rsid w:val="4CE3AEE0"/>
    <w:rsid w:val="4D20D742"/>
    <w:rsid w:val="4DBDA3D1"/>
    <w:rsid w:val="4E0FF58A"/>
    <w:rsid w:val="4E1A256D"/>
    <w:rsid w:val="4F7A6D41"/>
    <w:rsid w:val="505757D9"/>
    <w:rsid w:val="5113D875"/>
    <w:rsid w:val="5113E691"/>
    <w:rsid w:val="512D0B82"/>
    <w:rsid w:val="5249B7D5"/>
    <w:rsid w:val="52D654CD"/>
    <w:rsid w:val="5327BD90"/>
    <w:rsid w:val="53A9B6D4"/>
    <w:rsid w:val="53CFF383"/>
    <w:rsid w:val="5404359D"/>
    <w:rsid w:val="540D6961"/>
    <w:rsid w:val="54276DB5"/>
    <w:rsid w:val="55139760"/>
    <w:rsid w:val="555FEE66"/>
    <w:rsid w:val="55CF4A7C"/>
    <w:rsid w:val="560EA148"/>
    <w:rsid w:val="572AB385"/>
    <w:rsid w:val="57C44E7B"/>
    <w:rsid w:val="57D26B39"/>
    <w:rsid w:val="5855BC00"/>
    <w:rsid w:val="5863A3F0"/>
    <w:rsid w:val="59044701"/>
    <w:rsid w:val="5907210B"/>
    <w:rsid w:val="59AA88B7"/>
    <w:rsid w:val="5A6BD131"/>
    <w:rsid w:val="5AAD7758"/>
    <w:rsid w:val="5AC711FD"/>
    <w:rsid w:val="5B65D1E0"/>
    <w:rsid w:val="5BBF6A6B"/>
    <w:rsid w:val="5D661C6B"/>
    <w:rsid w:val="5DB4C453"/>
    <w:rsid w:val="5E54E74C"/>
    <w:rsid w:val="5E8E1226"/>
    <w:rsid w:val="5E903C8F"/>
    <w:rsid w:val="5EC5186E"/>
    <w:rsid w:val="5F5A70E2"/>
    <w:rsid w:val="60592233"/>
    <w:rsid w:val="60B64D3A"/>
    <w:rsid w:val="60D117E1"/>
    <w:rsid w:val="61DD6708"/>
    <w:rsid w:val="6237C0C4"/>
    <w:rsid w:val="62692D09"/>
    <w:rsid w:val="62C316E3"/>
    <w:rsid w:val="6354D6C5"/>
    <w:rsid w:val="638D6CA7"/>
    <w:rsid w:val="64255C82"/>
    <w:rsid w:val="6467D186"/>
    <w:rsid w:val="64E691BC"/>
    <w:rsid w:val="6539442E"/>
    <w:rsid w:val="656C8321"/>
    <w:rsid w:val="65B2793D"/>
    <w:rsid w:val="65D873CE"/>
    <w:rsid w:val="66008622"/>
    <w:rsid w:val="6625E6D2"/>
    <w:rsid w:val="671ADDA1"/>
    <w:rsid w:val="6724591C"/>
    <w:rsid w:val="678F921F"/>
    <w:rsid w:val="679F396E"/>
    <w:rsid w:val="67B820C2"/>
    <w:rsid w:val="67CEBBD5"/>
    <w:rsid w:val="6811445D"/>
    <w:rsid w:val="6847A4A8"/>
    <w:rsid w:val="685CDFAF"/>
    <w:rsid w:val="686ABFFD"/>
    <w:rsid w:val="68A08706"/>
    <w:rsid w:val="68D09A9B"/>
    <w:rsid w:val="68EE810E"/>
    <w:rsid w:val="69D99A39"/>
    <w:rsid w:val="69F6F266"/>
    <w:rsid w:val="6AC0DAEC"/>
    <w:rsid w:val="6AF116FD"/>
    <w:rsid w:val="6B48C0F7"/>
    <w:rsid w:val="6B49E71E"/>
    <w:rsid w:val="6B6E14BD"/>
    <w:rsid w:val="6BA5344A"/>
    <w:rsid w:val="6BBC497B"/>
    <w:rsid w:val="6BE0B89D"/>
    <w:rsid w:val="6BEFD1C0"/>
    <w:rsid w:val="6C8A615F"/>
    <w:rsid w:val="6C95CC7E"/>
    <w:rsid w:val="6C9ADA1F"/>
    <w:rsid w:val="6CA0CF72"/>
    <w:rsid w:val="6D10CFCE"/>
    <w:rsid w:val="6D24CFBE"/>
    <w:rsid w:val="6DEDBEDD"/>
    <w:rsid w:val="6E071284"/>
    <w:rsid w:val="6E3C717E"/>
    <w:rsid w:val="6E4223C7"/>
    <w:rsid w:val="6E52703F"/>
    <w:rsid w:val="6E7974E6"/>
    <w:rsid w:val="6F06F30E"/>
    <w:rsid w:val="6F634064"/>
    <w:rsid w:val="7006DF88"/>
    <w:rsid w:val="702A6E5F"/>
    <w:rsid w:val="70E82591"/>
    <w:rsid w:val="70FC04BA"/>
    <w:rsid w:val="71428097"/>
    <w:rsid w:val="7161FD6E"/>
    <w:rsid w:val="7164F828"/>
    <w:rsid w:val="717E43B4"/>
    <w:rsid w:val="71A89378"/>
    <w:rsid w:val="71B3033D"/>
    <w:rsid w:val="728B82EA"/>
    <w:rsid w:val="729DBFA4"/>
    <w:rsid w:val="72A151F9"/>
    <w:rsid w:val="72A94AA2"/>
    <w:rsid w:val="731F9DC6"/>
    <w:rsid w:val="7322E210"/>
    <w:rsid w:val="7338CD81"/>
    <w:rsid w:val="73575766"/>
    <w:rsid w:val="73F5AFD1"/>
    <w:rsid w:val="73FEB534"/>
    <w:rsid w:val="740AC15F"/>
    <w:rsid w:val="74696647"/>
    <w:rsid w:val="749DA4B7"/>
    <w:rsid w:val="74C22380"/>
    <w:rsid w:val="74E7962A"/>
    <w:rsid w:val="75D9A947"/>
    <w:rsid w:val="769684E2"/>
    <w:rsid w:val="76B26A08"/>
    <w:rsid w:val="76D3B89F"/>
    <w:rsid w:val="775FE68F"/>
    <w:rsid w:val="77E0D36E"/>
    <w:rsid w:val="7897B6EA"/>
    <w:rsid w:val="78E099B1"/>
    <w:rsid w:val="7934094D"/>
    <w:rsid w:val="7941521B"/>
    <w:rsid w:val="7A7FAED3"/>
    <w:rsid w:val="7A95F794"/>
    <w:rsid w:val="7ADE07F5"/>
    <w:rsid w:val="7B52AF80"/>
    <w:rsid w:val="7BCE4F47"/>
    <w:rsid w:val="7BD12538"/>
    <w:rsid w:val="7BD6CC7D"/>
    <w:rsid w:val="7C2D14B9"/>
    <w:rsid w:val="7C3CFCFA"/>
    <w:rsid w:val="7C55D711"/>
    <w:rsid w:val="7C7E714A"/>
    <w:rsid w:val="7C959EA6"/>
    <w:rsid w:val="7C9F9B53"/>
    <w:rsid w:val="7CA02D15"/>
    <w:rsid w:val="7CF5D8D6"/>
    <w:rsid w:val="7D0B0B85"/>
    <w:rsid w:val="7D1CB5BD"/>
    <w:rsid w:val="7D7E40C5"/>
    <w:rsid w:val="7DB584A3"/>
    <w:rsid w:val="7DDBD934"/>
    <w:rsid w:val="7E025A3F"/>
    <w:rsid w:val="7E07DDC3"/>
    <w:rsid w:val="7EE3875C"/>
    <w:rsid w:val="7FB31F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B677A"/>
  <w15:chartTrackingRefBased/>
  <w15:docId w15:val="{6D1BB3DE-31B1-4640-9D2B-6D322D0D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FD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311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311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311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311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1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1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1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1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1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1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311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311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311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1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1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1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1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1C1"/>
    <w:rPr>
      <w:rFonts w:eastAsiaTheme="majorEastAsia" w:cstheme="majorBidi"/>
      <w:color w:val="272727" w:themeColor="text1" w:themeTint="D8"/>
    </w:rPr>
  </w:style>
  <w:style w:type="paragraph" w:styleId="Title">
    <w:name w:val="Title"/>
    <w:basedOn w:val="Normal"/>
    <w:next w:val="Normal"/>
    <w:link w:val="TitleChar"/>
    <w:uiPriority w:val="10"/>
    <w:qFormat/>
    <w:rsid w:val="00C311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1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1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1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1C1"/>
    <w:pPr>
      <w:spacing w:before="160"/>
      <w:jc w:val="center"/>
    </w:pPr>
    <w:rPr>
      <w:i/>
      <w:iCs/>
      <w:color w:val="404040" w:themeColor="text1" w:themeTint="BF"/>
    </w:rPr>
  </w:style>
  <w:style w:type="character" w:customStyle="1" w:styleId="QuoteChar">
    <w:name w:val="Quote Char"/>
    <w:basedOn w:val="DefaultParagraphFont"/>
    <w:link w:val="Quote"/>
    <w:uiPriority w:val="29"/>
    <w:rsid w:val="00C311C1"/>
    <w:rPr>
      <w:i/>
      <w:iCs/>
      <w:color w:val="404040" w:themeColor="text1" w:themeTint="BF"/>
    </w:rPr>
  </w:style>
  <w:style w:type="paragraph" w:styleId="ListParagraph">
    <w:name w:val="List Paragraph"/>
    <w:basedOn w:val="Normal"/>
    <w:uiPriority w:val="34"/>
    <w:qFormat/>
    <w:rsid w:val="00C311C1"/>
    <w:pPr>
      <w:ind w:left="720"/>
      <w:contextualSpacing/>
    </w:pPr>
  </w:style>
  <w:style w:type="character" w:styleId="IntenseEmphasis">
    <w:name w:val="Intense Emphasis"/>
    <w:basedOn w:val="DefaultParagraphFont"/>
    <w:uiPriority w:val="21"/>
    <w:qFormat/>
    <w:rsid w:val="00C311C1"/>
    <w:rPr>
      <w:i/>
      <w:iCs/>
      <w:color w:val="0F4761" w:themeColor="accent1" w:themeShade="BF"/>
    </w:rPr>
  </w:style>
  <w:style w:type="paragraph" w:styleId="IntenseQuote">
    <w:name w:val="Intense Quote"/>
    <w:basedOn w:val="Normal"/>
    <w:next w:val="Normal"/>
    <w:link w:val="IntenseQuoteChar"/>
    <w:uiPriority w:val="30"/>
    <w:qFormat/>
    <w:rsid w:val="00C311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1C1"/>
    <w:rPr>
      <w:i/>
      <w:iCs/>
      <w:color w:val="0F4761" w:themeColor="accent1" w:themeShade="BF"/>
    </w:rPr>
  </w:style>
  <w:style w:type="character" w:styleId="IntenseReference">
    <w:name w:val="Intense Reference"/>
    <w:basedOn w:val="DefaultParagraphFont"/>
    <w:uiPriority w:val="32"/>
    <w:qFormat/>
    <w:rsid w:val="00C311C1"/>
    <w:rPr>
      <w:b/>
      <w:bCs/>
      <w:smallCaps/>
      <w:color w:val="0F4761" w:themeColor="accent1" w:themeShade="BF"/>
      <w:spacing w:val="5"/>
    </w:rPr>
  </w:style>
  <w:style w:type="character" w:styleId="Hyperlink">
    <w:name w:val="Hyperlink"/>
    <w:basedOn w:val="DefaultParagraphFont"/>
    <w:uiPriority w:val="99"/>
    <w:unhideWhenUsed/>
    <w:rsid w:val="00C311C1"/>
    <w:rPr>
      <w:strike w:val="0"/>
      <w:dstrike w:val="0"/>
      <w:color w:val="464FEB"/>
      <w:u w:val="none"/>
      <w:effect w:val="none"/>
    </w:rPr>
  </w:style>
  <w:style w:type="paragraph" w:styleId="NormalWeb">
    <w:name w:val="Normal (Web)"/>
    <w:basedOn w:val="Normal"/>
    <w:uiPriority w:val="99"/>
    <w:unhideWhenUsed/>
    <w:rsid w:val="00C311C1"/>
    <w:pPr>
      <w:spacing w:before="100" w:beforeAutospacing="1" w:after="100" w:afterAutospacing="1"/>
    </w:pPr>
  </w:style>
  <w:style w:type="character" w:styleId="Strong">
    <w:name w:val="Strong"/>
    <w:basedOn w:val="DefaultParagraphFont"/>
    <w:uiPriority w:val="22"/>
    <w:qFormat/>
    <w:rsid w:val="00C311C1"/>
    <w:rPr>
      <w:b/>
      <w:bCs/>
    </w:rPr>
  </w:style>
  <w:style w:type="character" w:customStyle="1" w:styleId="normaltextrun">
    <w:name w:val="normaltextrun"/>
    <w:basedOn w:val="DefaultParagraphFont"/>
    <w:rsid w:val="00A21FD2"/>
  </w:style>
  <w:style w:type="character" w:customStyle="1" w:styleId="eop">
    <w:name w:val="eop"/>
    <w:basedOn w:val="DefaultParagraphFont"/>
    <w:rsid w:val="00A21FD2"/>
  </w:style>
  <w:style w:type="character" w:styleId="Emphasis">
    <w:name w:val="Emphasis"/>
    <w:basedOn w:val="DefaultParagraphFont"/>
    <w:uiPriority w:val="20"/>
    <w:qFormat/>
    <w:rsid w:val="00C22D14"/>
    <w:rPr>
      <w:i/>
      <w:iCs/>
    </w:rPr>
  </w:style>
  <w:style w:type="paragraph" w:styleId="Footer">
    <w:name w:val="footer"/>
    <w:basedOn w:val="Normal"/>
    <w:link w:val="FooterChar"/>
    <w:uiPriority w:val="99"/>
    <w:unhideWhenUsed/>
    <w:rsid w:val="00573D29"/>
    <w:pPr>
      <w:tabs>
        <w:tab w:val="center" w:pos="4680"/>
        <w:tab w:val="right" w:pos="9360"/>
      </w:tabs>
    </w:pPr>
  </w:style>
  <w:style w:type="character" w:customStyle="1" w:styleId="FooterChar">
    <w:name w:val="Footer Char"/>
    <w:basedOn w:val="DefaultParagraphFont"/>
    <w:link w:val="Footer"/>
    <w:uiPriority w:val="99"/>
    <w:rsid w:val="00573D29"/>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73D29"/>
  </w:style>
  <w:style w:type="paragraph" w:styleId="Header">
    <w:name w:val="header"/>
    <w:basedOn w:val="Normal"/>
    <w:link w:val="HeaderChar"/>
    <w:uiPriority w:val="99"/>
    <w:unhideWhenUsed/>
    <w:rsid w:val="00573D29"/>
    <w:pPr>
      <w:tabs>
        <w:tab w:val="center" w:pos="4680"/>
        <w:tab w:val="right" w:pos="9360"/>
      </w:tabs>
    </w:pPr>
  </w:style>
  <w:style w:type="character" w:customStyle="1" w:styleId="HeaderChar">
    <w:name w:val="Header Char"/>
    <w:basedOn w:val="DefaultParagraphFont"/>
    <w:link w:val="Header"/>
    <w:uiPriority w:val="99"/>
    <w:rsid w:val="00573D29"/>
    <w:rPr>
      <w:rFonts w:ascii="Times New Roman" w:eastAsia="Times New Roman" w:hAnsi="Times New Roman" w:cs="Times New Roman"/>
      <w:kern w:val="0"/>
      <w14:ligatures w14:val="none"/>
    </w:rPr>
  </w:style>
  <w:style w:type="paragraph" w:styleId="EndnoteText">
    <w:name w:val="endnote text"/>
    <w:basedOn w:val="Normal"/>
    <w:link w:val="EndnoteTextChar"/>
    <w:uiPriority w:val="99"/>
    <w:unhideWhenUsed/>
    <w:rsid w:val="007A0E11"/>
    <w:rPr>
      <w:sz w:val="20"/>
      <w:szCs w:val="20"/>
    </w:rPr>
  </w:style>
  <w:style w:type="character" w:customStyle="1" w:styleId="EndnoteTextChar">
    <w:name w:val="Endnote Text Char"/>
    <w:basedOn w:val="DefaultParagraphFont"/>
    <w:link w:val="EndnoteText"/>
    <w:uiPriority w:val="99"/>
    <w:rsid w:val="00FA29BF"/>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unhideWhenUsed/>
    <w:rsid w:val="00251683"/>
    <w:rPr>
      <w:rFonts w:ascii="Helvetica" w:hAnsi="Helvetica"/>
      <w:vertAlign w:val="superscript"/>
    </w:rPr>
  </w:style>
  <w:style w:type="character" w:styleId="UnresolvedMention">
    <w:name w:val="Unresolved Mention"/>
    <w:basedOn w:val="DefaultParagraphFont"/>
    <w:uiPriority w:val="99"/>
    <w:semiHidden/>
    <w:unhideWhenUsed/>
    <w:rsid w:val="00FA29BF"/>
    <w:rPr>
      <w:color w:val="605E5C"/>
      <w:shd w:val="clear" w:color="auto" w:fill="E1DFDD"/>
    </w:rPr>
  </w:style>
  <w:style w:type="paragraph" w:styleId="FootnoteText">
    <w:name w:val="footnote text"/>
    <w:basedOn w:val="Normal"/>
    <w:link w:val="FootnoteTextChar"/>
    <w:uiPriority w:val="99"/>
    <w:unhideWhenUsed/>
    <w:rsid w:val="00323B16"/>
    <w:rPr>
      <w:sz w:val="20"/>
      <w:szCs w:val="20"/>
    </w:rPr>
  </w:style>
  <w:style w:type="character" w:customStyle="1" w:styleId="FootnoteTextChar">
    <w:name w:val="Footnote Text Char"/>
    <w:basedOn w:val="DefaultParagraphFont"/>
    <w:link w:val="FootnoteText"/>
    <w:uiPriority w:val="99"/>
    <w:rsid w:val="00323B16"/>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323B16"/>
    <w:rPr>
      <w:vertAlign w:val="superscript"/>
    </w:rPr>
  </w:style>
  <w:style w:type="character" w:styleId="CommentReference">
    <w:name w:val="annotation reference"/>
    <w:basedOn w:val="DefaultParagraphFont"/>
    <w:uiPriority w:val="99"/>
    <w:semiHidden/>
    <w:unhideWhenUsed/>
    <w:rsid w:val="00336332"/>
    <w:rPr>
      <w:sz w:val="16"/>
      <w:szCs w:val="16"/>
    </w:rPr>
  </w:style>
  <w:style w:type="paragraph" w:styleId="CommentText">
    <w:name w:val="annotation text"/>
    <w:basedOn w:val="Normal"/>
    <w:link w:val="CommentTextChar"/>
    <w:uiPriority w:val="99"/>
    <w:unhideWhenUsed/>
    <w:rsid w:val="00336332"/>
    <w:rPr>
      <w:sz w:val="20"/>
      <w:szCs w:val="20"/>
    </w:rPr>
  </w:style>
  <w:style w:type="character" w:customStyle="1" w:styleId="CommentTextChar">
    <w:name w:val="Comment Text Char"/>
    <w:basedOn w:val="DefaultParagraphFont"/>
    <w:link w:val="CommentText"/>
    <w:uiPriority w:val="99"/>
    <w:rsid w:val="0033633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36332"/>
    <w:rPr>
      <w:b/>
      <w:bCs/>
    </w:rPr>
  </w:style>
  <w:style w:type="character" w:customStyle="1" w:styleId="CommentSubjectChar">
    <w:name w:val="Comment Subject Char"/>
    <w:basedOn w:val="CommentTextChar"/>
    <w:link w:val="CommentSubject"/>
    <w:uiPriority w:val="99"/>
    <w:semiHidden/>
    <w:rsid w:val="00336332"/>
    <w:rPr>
      <w:rFonts w:ascii="Times New Roman" w:eastAsia="Times New Roman" w:hAnsi="Times New Roman" w:cs="Times New Roman"/>
      <w:b/>
      <w:bCs/>
      <w:kern w:val="0"/>
      <w:sz w:val="20"/>
      <w:szCs w:val="20"/>
      <w14:ligatures w14:val="none"/>
    </w:rPr>
  </w:style>
  <w:style w:type="paragraph" w:styleId="TOC2">
    <w:name w:val="toc 2"/>
    <w:basedOn w:val="Normal"/>
    <w:next w:val="Normal"/>
    <w:uiPriority w:val="39"/>
    <w:unhideWhenUsed/>
    <w:rsid w:val="228E0351"/>
    <w:pPr>
      <w:spacing w:after="100"/>
      <w:ind w:left="220"/>
    </w:pPr>
  </w:style>
  <w:style w:type="paragraph" w:styleId="TOC3">
    <w:name w:val="toc 3"/>
    <w:basedOn w:val="Normal"/>
    <w:next w:val="Normal"/>
    <w:uiPriority w:val="39"/>
    <w:unhideWhenUsed/>
    <w:rsid w:val="228E0351"/>
    <w:pPr>
      <w:spacing w:after="100"/>
      <w:ind w:left="440"/>
    </w:pPr>
  </w:style>
  <w:style w:type="paragraph" w:styleId="TOC4">
    <w:name w:val="toc 4"/>
    <w:basedOn w:val="Normal"/>
    <w:next w:val="Normal"/>
    <w:uiPriority w:val="39"/>
    <w:unhideWhenUsed/>
    <w:rsid w:val="228E0351"/>
    <w:pPr>
      <w:spacing w:after="100"/>
      <w:ind w:left="660"/>
    </w:pPr>
  </w:style>
  <w:style w:type="paragraph" w:styleId="TOC1">
    <w:name w:val="toc 1"/>
    <w:basedOn w:val="Normal"/>
    <w:next w:val="Normal"/>
    <w:link w:val="TOC1Char"/>
    <w:uiPriority w:val="39"/>
    <w:unhideWhenUsed/>
    <w:rsid w:val="00D2461F"/>
    <w:pPr>
      <w:spacing w:after="100"/>
    </w:pPr>
    <w:rPr>
      <w:rFonts w:ascii="Helvetica" w:hAnsi="Helvetica"/>
      <w:sz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OC1Char">
    <w:name w:val="TOC 1 Char"/>
    <w:basedOn w:val="DefaultParagraphFont"/>
    <w:link w:val="TOC1"/>
    <w:uiPriority w:val="39"/>
    <w:rsid w:val="00D2461F"/>
    <w:rPr>
      <w:rFonts w:ascii="Helvetica" w:eastAsia="Times New Roman" w:hAnsi="Helvetica" w:cs="Times New Roman"/>
      <w:kern w:val="0"/>
      <w:sz w:val="22"/>
      <w14:ligatures w14:val="none"/>
    </w:rPr>
  </w:style>
  <w:style w:type="paragraph" w:customStyle="1" w:styleId="Style1">
    <w:name w:val="Style1"/>
    <w:basedOn w:val="EndnoteText"/>
    <w:qFormat/>
    <w:rsid w:val="007A0E11"/>
    <w:rPr>
      <w:rFonts w:ascii="Helvetica" w:hAnsi="Helvetica"/>
      <w:color w:val="000000" w:themeColor="text1"/>
      <w:sz w:val="22"/>
      <w:szCs w:val="22"/>
    </w:rPr>
  </w:style>
  <w:style w:type="character" w:styleId="FollowedHyperlink">
    <w:name w:val="FollowedHyperlink"/>
    <w:basedOn w:val="DefaultParagraphFont"/>
    <w:uiPriority w:val="99"/>
    <w:semiHidden/>
    <w:unhideWhenUsed/>
    <w:rsid w:val="00D22E01"/>
    <w:rPr>
      <w:color w:val="96607D" w:themeColor="followedHyperlink"/>
      <w:u w:val="single"/>
    </w:rPr>
  </w:style>
  <w:style w:type="paragraph" w:styleId="Revision">
    <w:name w:val="Revision"/>
    <w:hidden/>
    <w:uiPriority w:val="99"/>
    <w:semiHidden/>
    <w:rsid w:val="00CA121A"/>
    <w:pPr>
      <w:spacing w:after="0" w:line="240" w:lineRule="auto"/>
    </w:pPr>
    <w:rPr>
      <w:rFonts w:ascii="Times New Roman" w:eastAsia="Times New Roman" w:hAnsi="Times New Roman" w:cs="Times New Roman"/>
      <w:kern w:val="0"/>
      <w14:ligatures w14:val="none"/>
    </w:rPr>
  </w:style>
  <w:style w:type="paragraph" w:customStyle="1" w:styleId="Style2">
    <w:name w:val="Style2"/>
    <w:basedOn w:val="EndnoteText"/>
    <w:qFormat/>
    <w:rsid w:val="00542787"/>
    <w:rPr>
      <w:rFonts w:ascii="Helvetica" w:eastAsia="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da.org.au/our-resources/publication/disability-rights-now-shadow-report-to-the-united-nations-committee-on-the-convention-on-the-rights-of-persons-with-disabilities-crpd/" TargetMode="External"/><Relationship Id="rId13" Type="http://schemas.openxmlformats.org/officeDocument/2006/relationships/hyperlink" Target="https://wwda.org.au/our-resources/publication/wwdas-position-statement-human-rights-act-2/" TargetMode="External"/><Relationship Id="rId18" Type="http://schemas.openxmlformats.org/officeDocument/2006/relationships/hyperlink" Target="https://www.ohchr.org/en/documents/general-comments-and-recommendations/general-comment-no7-article-43-and-333-participation" TargetMode="External"/><Relationship Id="rId3" Type="http://schemas.openxmlformats.org/officeDocument/2006/relationships/hyperlink" Target="https://wwda.org.au/our-resources/publication/strengthening-protection-of-the-rights-of-people-with-disability-through-a-national-human-rights-act-hra/" TargetMode="External"/><Relationship Id="rId7" Type="http://schemas.openxmlformats.org/officeDocument/2006/relationships/hyperlink" Target="https://wwda.org.au/our-resources/publication/disability-rights-now-shadow-report-to-the-united-nations-committee-on-the-convention-on-the-rights-of-persons-with-disabilities-crpd/" TargetMode="External"/><Relationship Id="rId12" Type="http://schemas.openxmlformats.org/officeDocument/2006/relationships/hyperlink" Target="https://digitallibrary.un.org/record/797193" TargetMode="External"/><Relationship Id="rId17" Type="http://schemas.openxmlformats.org/officeDocument/2006/relationships/hyperlink" Target="https://wwda.org.au/our-resources/publication/submission-on-international-disability-equity-and-rights-strategy/" TargetMode="External"/><Relationship Id="rId2" Type="http://schemas.openxmlformats.org/officeDocument/2006/relationships/hyperlink" Target="https://wwda.org.au/our-resources/publication/disability-rights-now-shadow-report-to-the-united-nations-committee-on-the-convention-on-the-rights-of-persons-with-disabilities-crpd/" TargetMode="External"/><Relationship Id="rId16" Type="http://schemas.openxmlformats.org/officeDocument/2006/relationships/hyperlink" Target="https://wwda.org.au/wp-content/uploads/2023/08/WWDA-Submission-to-the-Review-to-Inform-a-Better-and-Fairer-Education-System.pdf" TargetMode="External"/><Relationship Id="rId20" Type="http://schemas.openxmlformats.org/officeDocument/2006/relationships/hyperlink" Target="https://www.genderequalitycommission.vic.gov.au/applying-intersectionality" TargetMode="External"/><Relationship Id="rId1" Type="http://schemas.openxmlformats.org/officeDocument/2006/relationships/hyperlink" Target="https://pwd.org.au/media-release-reforming-the-disability-discrimination-act-following-the-sklavos-decision/" TargetMode="External"/><Relationship Id="rId6" Type="http://schemas.openxmlformats.org/officeDocument/2006/relationships/hyperlink" Target="https://digitallibrary.un.org/record/1641944" TargetMode="External"/><Relationship Id="rId11" Type="http://schemas.openxmlformats.org/officeDocument/2006/relationships/hyperlink" Target="https://alhr.org.au/wp/wp-content/uploads/2023/11/Reduced-Welcoming-Disability-Submission-to-DoH-2023-ReviewF4.docx.pdf" TargetMode="External"/><Relationship Id="rId5" Type="http://schemas.openxmlformats.org/officeDocument/2006/relationships/hyperlink" Target="https://www.womensforumaustralia.org/giggle_v_tickle_the_appeal" TargetMode="External"/><Relationship Id="rId15" Type="http://schemas.openxmlformats.org/officeDocument/2006/relationships/hyperlink" Target="https://wwda.org.au/wp-content/uploads/2024/12/WWDA_Redressing-Reproductive-Violence-Against-Women-with-Disability22.pdf" TargetMode="External"/><Relationship Id="rId10" Type="http://schemas.openxmlformats.org/officeDocument/2006/relationships/hyperlink" Target="https://www.ohchr.org/en/documents/general-comments-and-recommendations/general-comment-no6-equality-and-non-discrimination" TargetMode="External"/><Relationship Id="rId19" Type="http://schemas.openxmlformats.org/officeDocument/2006/relationships/hyperlink" Target="https://inclusivefutures.org/employment/" TargetMode="External"/><Relationship Id="rId4" Type="http://schemas.openxmlformats.org/officeDocument/2006/relationships/hyperlink" Target="https://www.aph.gov.au/Parliamentary_Business/Committees/Joint/Human_Rights/HumanRightsFramework/Report" TargetMode="External"/><Relationship Id="rId9" Type="http://schemas.openxmlformats.org/officeDocument/2006/relationships/hyperlink" Target="https://www.ohchr.org/en/documents/thematic-reports/ahrc4727-law-inclusion-report-independent-expert-sexual-orientation-and" TargetMode="External"/><Relationship Id="rId14" Type="http://schemas.openxmlformats.org/officeDocument/2006/relationships/hyperlink" Target="https://www.ohchr.org/en/special-procedures/ie-sexual-orientation-and-gender-ident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8DA22-3642-3149-85FA-CB143C20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5044</Words>
  <Characters>28756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Richter</dc:creator>
  <cp:keywords/>
  <dc:description/>
  <cp:lastModifiedBy>Sophie Cusworth | Women With Disabilities Australia</cp:lastModifiedBy>
  <cp:revision>2</cp:revision>
  <dcterms:created xsi:type="dcterms:W3CDTF">2025-10-13T06:21:00Z</dcterms:created>
  <dcterms:modified xsi:type="dcterms:W3CDTF">2025-10-13T06:21:00Z</dcterms:modified>
</cp:coreProperties>
</file>